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079EA" w14:textId="77777777" w:rsidR="00E4040D" w:rsidRPr="00AB2FD8" w:rsidRDefault="00E4040D" w:rsidP="00B84950">
      <w:pPr>
        <w:ind w:left="5812"/>
        <w:jc w:val="right"/>
        <w:rPr>
          <w:b/>
          <w:sz w:val="22"/>
          <w:szCs w:val="22"/>
          <w:lang w:val="uk-UA"/>
        </w:rPr>
      </w:pPr>
      <w:r w:rsidRPr="00AB2FD8">
        <w:rPr>
          <w:b/>
          <w:sz w:val="22"/>
          <w:szCs w:val="22"/>
          <w:lang w:val="uk-UA"/>
        </w:rPr>
        <w:t xml:space="preserve">«Затверджено» </w:t>
      </w:r>
    </w:p>
    <w:p w14:paraId="3B71CFE3" w14:textId="77777777" w:rsidR="00B84950" w:rsidRDefault="00E4040D" w:rsidP="00B84950">
      <w:pPr>
        <w:ind w:left="5670" w:firstLine="1985"/>
        <w:jc w:val="right"/>
        <w:rPr>
          <w:b/>
          <w:sz w:val="22"/>
          <w:szCs w:val="22"/>
          <w:lang w:val="uk-UA"/>
        </w:rPr>
      </w:pPr>
      <w:r w:rsidRPr="00AB2FD8">
        <w:rPr>
          <w:b/>
          <w:sz w:val="22"/>
          <w:szCs w:val="22"/>
          <w:lang w:val="uk-UA"/>
        </w:rPr>
        <w:t>Наглядово</w:t>
      </w:r>
      <w:r w:rsidR="00F24308" w:rsidRPr="00AB2FD8">
        <w:rPr>
          <w:b/>
          <w:sz w:val="22"/>
          <w:szCs w:val="22"/>
          <w:lang w:val="uk-UA"/>
        </w:rPr>
        <w:t>ю</w:t>
      </w:r>
      <w:r w:rsidRPr="00AB2FD8">
        <w:rPr>
          <w:b/>
          <w:sz w:val="22"/>
          <w:szCs w:val="22"/>
          <w:lang w:val="uk-UA"/>
        </w:rPr>
        <w:t xml:space="preserve"> Рад</w:t>
      </w:r>
      <w:r w:rsidR="00F24308" w:rsidRPr="00AB2FD8">
        <w:rPr>
          <w:b/>
          <w:sz w:val="22"/>
          <w:szCs w:val="22"/>
          <w:lang w:val="uk-UA"/>
        </w:rPr>
        <w:t>ою</w:t>
      </w:r>
      <w:r w:rsidRPr="00AB2FD8">
        <w:rPr>
          <w:b/>
          <w:sz w:val="22"/>
          <w:szCs w:val="22"/>
          <w:lang w:val="uk-UA"/>
        </w:rPr>
        <w:t xml:space="preserve">  </w:t>
      </w:r>
      <w:r w:rsidR="00A47A5D">
        <w:rPr>
          <w:b/>
          <w:sz w:val="22"/>
          <w:szCs w:val="22"/>
          <w:lang w:val="uk-UA"/>
        </w:rPr>
        <w:t>П</w:t>
      </w:r>
      <w:r w:rsidR="00763DB8">
        <w:rPr>
          <w:b/>
          <w:sz w:val="22"/>
          <w:szCs w:val="22"/>
          <w:lang w:val="uk-UA"/>
        </w:rPr>
        <w:t>Р</w:t>
      </w:r>
      <w:r w:rsidRPr="00AB2FD8">
        <w:rPr>
          <w:b/>
          <w:sz w:val="22"/>
          <w:szCs w:val="22"/>
          <w:lang w:val="uk-UA"/>
        </w:rPr>
        <w:t>АТ «</w:t>
      </w:r>
      <w:r w:rsidR="0082705D">
        <w:rPr>
          <w:b/>
          <w:sz w:val="22"/>
          <w:szCs w:val="22"/>
          <w:lang w:val="uk-UA"/>
        </w:rPr>
        <w:t>КЗВВ</w:t>
      </w:r>
      <w:r w:rsidR="00126FB2">
        <w:rPr>
          <w:b/>
          <w:sz w:val="22"/>
          <w:szCs w:val="22"/>
          <w:lang w:val="uk-UA"/>
        </w:rPr>
        <w:t>»</w:t>
      </w:r>
      <w:r w:rsidR="00F24308" w:rsidRPr="00AB2FD8">
        <w:rPr>
          <w:b/>
          <w:sz w:val="22"/>
          <w:szCs w:val="22"/>
          <w:lang w:val="uk-UA"/>
        </w:rPr>
        <w:t xml:space="preserve">, </w:t>
      </w:r>
    </w:p>
    <w:p w14:paraId="1841150E" w14:textId="13604D46" w:rsidR="00063647" w:rsidRDefault="00DA2839" w:rsidP="00063647">
      <w:pPr>
        <w:jc w:val="right"/>
        <w:rPr>
          <w:b/>
          <w:sz w:val="22"/>
          <w:szCs w:val="22"/>
          <w:lang w:val="uk-UA"/>
        </w:rPr>
      </w:pPr>
      <w:r>
        <w:rPr>
          <w:b/>
          <w:sz w:val="22"/>
          <w:szCs w:val="22"/>
          <w:lang w:val="uk-UA"/>
        </w:rPr>
        <w:t xml:space="preserve">Протокол </w:t>
      </w:r>
      <w:r w:rsidR="00567B7B" w:rsidRPr="00567B7B">
        <w:rPr>
          <w:b/>
          <w:sz w:val="22"/>
          <w:szCs w:val="22"/>
          <w:lang w:val="uk-UA"/>
        </w:rPr>
        <w:t xml:space="preserve">№ </w:t>
      </w:r>
      <w:r w:rsidR="00A54078">
        <w:rPr>
          <w:b/>
          <w:sz w:val="22"/>
          <w:szCs w:val="22"/>
          <w:lang w:val="en-US"/>
        </w:rPr>
        <w:t>19-01</w:t>
      </w:r>
      <w:r w:rsidR="00A54078">
        <w:rPr>
          <w:b/>
          <w:sz w:val="22"/>
          <w:szCs w:val="22"/>
          <w:lang w:val="uk-UA"/>
        </w:rPr>
        <w:t>К</w:t>
      </w:r>
      <w:r w:rsidR="00567B7B" w:rsidRPr="00567B7B">
        <w:rPr>
          <w:b/>
          <w:sz w:val="22"/>
          <w:szCs w:val="22"/>
          <w:lang w:val="uk-UA"/>
        </w:rPr>
        <w:t>/2</w:t>
      </w:r>
      <w:r w:rsidR="00A54078">
        <w:rPr>
          <w:b/>
          <w:sz w:val="22"/>
          <w:szCs w:val="22"/>
          <w:lang w:val="uk-UA"/>
        </w:rPr>
        <w:t>6</w:t>
      </w:r>
      <w:r w:rsidR="00567B7B">
        <w:rPr>
          <w:b/>
          <w:sz w:val="22"/>
          <w:szCs w:val="22"/>
          <w:lang w:val="uk-UA"/>
        </w:rPr>
        <w:t xml:space="preserve"> </w:t>
      </w:r>
      <w:r w:rsidR="00F24308" w:rsidRPr="00AB2FD8">
        <w:rPr>
          <w:b/>
          <w:sz w:val="22"/>
          <w:szCs w:val="22"/>
          <w:lang w:val="uk-UA"/>
        </w:rPr>
        <w:t xml:space="preserve">від </w:t>
      </w:r>
      <w:r w:rsidR="007F728D">
        <w:rPr>
          <w:b/>
          <w:sz w:val="22"/>
          <w:szCs w:val="22"/>
          <w:lang w:val="uk-UA"/>
        </w:rPr>
        <w:t xml:space="preserve"> </w:t>
      </w:r>
      <w:r w:rsidR="00A54078">
        <w:rPr>
          <w:b/>
          <w:sz w:val="22"/>
          <w:szCs w:val="22"/>
          <w:lang w:val="uk-UA"/>
        </w:rPr>
        <w:t>19 січня</w:t>
      </w:r>
      <w:r w:rsidR="00F24308" w:rsidRPr="00AB2FD8">
        <w:rPr>
          <w:b/>
          <w:sz w:val="22"/>
          <w:szCs w:val="22"/>
          <w:lang w:val="uk-UA"/>
        </w:rPr>
        <w:t xml:space="preserve"> 202</w:t>
      </w:r>
      <w:r w:rsidR="00A54078">
        <w:rPr>
          <w:b/>
          <w:sz w:val="22"/>
          <w:szCs w:val="22"/>
          <w:lang w:val="uk-UA"/>
        </w:rPr>
        <w:t>6</w:t>
      </w:r>
      <w:r w:rsidR="00F24308" w:rsidRPr="00AB2FD8">
        <w:rPr>
          <w:b/>
          <w:sz w:val="22"/>
          <w:szCs w:val="22"/>
          <w:lang w:val="uk-UA"/>
        </w:rPr>
        <w:t xml:space="preserve"> року </w:t>
      </w:r>
    </w:p>
    <w:p w14:paraId="13D1688B" w14:textId="77777777" w:rsidR="00E4040D" w:rsidRPr="00AB2FD8" w:rsidRDefault="0014059B" w:rsidP="00063647">
      <w:pPr>
        <w:jc w:val="right"/>
        <w:rPr>
          <w:b/>
          <w:sz w:val="22"/>
          <w:szCs w:val="22"/>
          <w:lang w:val="uk-UA"/>
        </w:rPr>
      </w:pPr>
      <w:r w:rsidRPr="00AB2FD8">
        <w:rPr>
          <w:b/>
          <w:sz w:val="22"/>
          <w:szCs w:val="22"/>
          <w:lang w:val="uk-UA"/>
        </w:rPr>
        <w:t xml:space="preserve">  </w:t>
      </w:r>
    </w:p>
    <w:p w14:paraId="63A467A6" w14:textId="77777777" w:rsidR="00E4040D" w:rsidRPr="00AB2FD8" w:rsidRDefault="00E4040D" w:rsidP="00E4040D">
      <w:pPr>
        <w:jc w:val="center"/>
        <w:rPr>
          <w:b/>
          <w:sz w:val="22"/>
          <w:szCs w:val="22"/>
          <w:lang w:val="uk-UA"/>
        </w:rPr>
      </w:pPr>
    </w:p>
    <w:p w14:paraId="35292C43" w14:textId="77777777" w:rsidR="00792641" w:rsidRPr="00AB2FD8" w:rsidRDefault="00E4040D" w:rsidP="00AC5C61">
      <w:pPr>
        <w:jc w:val="center"/>
        <w:rPr>
          <w:b/>
          <w:sz w:val="22"/>
          <w:szCs w:val="22"/>
          <w:lang w:val="uk-UA"/>
        </w:rPr>
      </w:pPr>
      <w:r w:rsidRPr="00AB2FD8">
        <w:rPr>
          <w:b/>
          <w:sz w:val="22"/>
          <w:szCs w:val="22"/>
          <w:lang w:val="uk-UA"/>
        </w:rPr>
        <w:t xml:space="preserve">БЮЛЕТЕНЬ </w:t>
      </w:r>
    </w:p>
    <w:p w14:paraId="0793E1D5" w14:textId="77777777" w:rsidR="000C61BD" w:rsidRPr="00AB2FD8" w:rsidRDefault="00E4040D" w:rsidP="00E4040D">
      <w:pPr>
        <w:jc w:val="center"/>
        <w:rPr>
          <w:b/>
          <w:sz w:val="22"/>
          <w:szCs w:val="22"/>
          <w:lang w:val="uk-UA"/>
        </w:rPr>
      </w:pPr>
      <w:r w:rsidRPr="00AB2FD8">
        <w:rPr>
          <w:b/>
          <w:sz w:val="22"/>
          <w:szCs w:val="22"/>
          <w:lang w:val="uk-UA"/>
        </w:rPr>
        <w:t>для голосування</w:t>
      </w:r>
      <w:r w:rsidR="00693700" w:rsidRPr="00AB2FD8">
        <w:rPr>
          <w:b/>
          <w:sz w:val="22"/>
          <w:szCs w:val="22"/>
          <w:lang w:val="uk-UA"/>
        </w:rPr>
        <w:t xml:space="preserve"> (щодо інших питань порядку денного, крім обрання органів товариства)</w:t>
      </w:r>
      <w:r w:rsidRPr="00AB2FD8">
        <w:rPr>
          <w:b/>
          <w:sz w:val="22"/>
          <w:szCs w:val="22"/>
          <w:lang w:val="uk-UA"/>
        </w:rPr>
        <w:t xml:space="preserve"> </w:t>
      </w:r>
    </w:p>
    <w:p w14:paraId="4F4B5389" w14:textId="77777777" w:rsidR="00E4040D" w:rsidRPr="00AB2FD8" w:rsidRDefault="00E4040D" w:rsidP="00E4040D">
      <w:pPr>
        <w:jc w:val="center"/>
        <w:rPr>
          <w:b/>
          <w:sz w:val="22"/>
          <w:szCs w:val="22"/>
        </w:rPr>
      </w:pPr>
      <w:r w:rsidRPr="00AB2FD8">
        <w:rPr>
          <w:b/>
          <w:sz w:val="22"/>
          <w:szCs w:val="22"/>
          <w:lang w:val="uk-UA"/>
        </w:rPr>
        <w:t xml:space="preserve">на дистанційних </w:t>
      </w:r>
      <w:r w:rsidR="007F728D">
        <w:rPr>
          <w:b/>
          <w:sz w:val="22"/>
          <w:szCs w:val="22"/>
          <w:lang w:val="uk-UA"/>
        </w:rPr>
        <w:t>позачергових</w:t>
      </w:r>
      <w:r w:rsidRPr="00AB2FD8">
        <w:rPr>
          <w:b/>
          <w:sz w:val="22"/>
          <w:szCs w:val="22"/>
          <w:lang w:val="uk-UA"/>
        </w:rPr>
        <w:t xml:space="preserve"> Загальних зборах </w:t>
      </w:r>
      <w:r w:rsidR="002724CD">
        <w:rPr>
          <w:b/>
          <w:sz w:val="22"/>
          <w:szCs w:val="22"/>
          <w:lang w:val="uk-UA"/>
        </w:rPr>
        <w:t>акціонерів</w:t>
      </w:r>
      <w:r w:rsidRPr="00AB2FD8">
        <w:rPr>
          <w:b/>
          <w:sz w:val="22"/>
          <w:szCs w:val="22"/>
          <w:lang w:val="uk-UA"/>
        </w:rPr>
        <w:t xml:space="preserve"> </w:t>
      </w:r>
    </w:p>
    <w:p w14:paraId="17D0A097" w14:textId="77777777" w:rsidR="00E85F0D" w:rsidRPr="0082705D" w:rsidRDefault="0082705D" w:rsidP="00E85F0D">
      <w:pPr>
        <w:jc w:val="center"/>
        <w:rPr>
          <w:b/>
          <w:sz w:val="22"/>
          <w:szCs w:val="22"/>
          <w:lang w:val="uk-UA"/>
        </w:rPr>
      </w:pPr>
      <w:r w:rsidRPr="0082705D">
        <w:rPr>
          <w:b/>
          <w:color w:val="000000"/>
          <w:sz w:val="22"/>
          <w:szCs w:val="22"/>
        </w:rPr>
        <w:t>ПРИВАТНОГО АКЦІОНЕРНОГО ТОВАРИСТВА «КРАМАТОРСЬКИЙ ЗАВОД ВАЖКОГО ВЕРСТАТОБУДУВАННЯ»</w:t>
      </w:r>
      <w:r w:rsidR="00126FB2" w:rsidRPr="0082705D">
        <w:rPr>
          <w:b/>
          <w:sz w:val="22"/>
          <w:szCs w:val="22"/>
          <w:lang w:val="uk-UA"/>
        </w:rPr>
        <w:t>,</w:t>
      </w:r>
      <w:r w:rsidR="00E85F0D" w:rsidRPr="0082705D">
        <w:rPr>
          <w:b/>
          <w:sz w:val="22"/>
          <w:szCs w:val="22"/>
          <w:lang w:val="uk-UA"/>
        </w:rPr>
        <w:t xml:space="preserve"> </w:t>
      </w:r>
    </w:p>
    <w:p w14:paraId="39AD70F6" w14:textId="77777777" w:rsidR="00E85F0D" w:rsidRPr="0082705D" w:rsidRDefault="002854AD" w:rsidP="0082705D">
      <w:pPr>
        <w:ind w:left="2880" w:firstLine="720"/>
        <w:rPr>
          <w:rFonts w:eastAsia="Calibri"/>
          <w:lang w:val="uk-UA"/>
        </w:rPr>
      </w:pPr>
      <w:r w:rsidRPr="00126FB2">
        <w:rPr>
          <w:b/>
          <w:sz w:val="22"/>
          <w:szCs w:val="22"/>
          <w:lang w:val="uk-UA"/>
        </w:rPr>
        <w:t xml:space="preserve">код за ЄДРПОУ </w:t>
      </w:r>
      <w:r w:rsidR="0082705D" w:rsidRPr="0082705D">
        <w:rPr>
          <w:rFonts w:eastAsia="Calibri"/>
          <w:b/>
          <w:lang w:val="uk-UA"/>
        </w:rPr>
        <w:t>00222999</w:t>
      </w:r>
      <w:r w:rsidR="00126FB2" w:rsidRPr="00126FB2">
        <w:rPr>
          <w:b/>
          <w:sz w:val="22"/>
          <w:szCs w:val="22"/>
          <w:lang w:val="uk-UA"/>
        </w:rPr>
        <w:t>,</w:t>
      </w:r>
    </w:p>
    <w:p w14:paraId="4DD3585F" w14:textId="77777777" w:rsidR="00E4040D" w:rsidRPr="00AB2FD8" w:rsidRDefault="00E85F0D" w:rsidP="00126FB2">
      <w:pPr>
        <w:jc w:val="center"/>
        <w:rPr>
          <w:b/>
          <w:sz w:val="22"/>
          <w:szCs w:val="22"/>
          <w:lang w:val="uk-UA"/>
        </w:rPr>
      </w:pPr>
      <w:r w:rsidRPr="00AB2FD8">
        <w:rPr>
          <w:rStyle w:val="markedcontent"/>
          <w:b/>
          <w:i/>
          <w:sz w:val="22"/>
          <w:szCs w:val="22"/>
          <w:lang w:val="uk-UA"/>
        </w:rPr>
        <w:t xml:space="preserve">надалі - </w:t>
      </w:r>
      <w:r w:rsidR="002854AD">
        <w:rPr>
          <w:rStyle w:val="markedcontent"/>
          <w:b/>
          <w:i/>
          <w:sz w:val="22"/>
          <w:szCs w:val="22"/>
          <w:lang w:val="uk-UA"/>
        </w:rPr>
        <w:t>Товариство</w:t>
      </w:r>
      <w:r w:rsidRPr="00AB2FD8">
        <w:rPr>
          <w:sz w:val="22"/>
          <w:szCs w:val="22"/>
          <w:lang w:val="uk-UA"/>
        </w:rPr>
        <w:t>)</w:t>
      </w:r>
    </w:p>
    <w:p w14:paraId="3FF20788" w14:textId="77777777" w:rsidR="00E4040D" w:rsidRDefault="00E4040D" w:rsidP="00E4040D">
      <w:pPr>
        <w:jc w:val="center"/>
        <w:rPr>
          <w:sz w:val="22"/>
          <w:szCs w:val="22"/>
          <w:lang w:val="uk-UA"/>
        </w:rPr>
      </w:pPr>
    </w:p>
    <w:p w14:paraId="4317D023" w14:textId="77777777" w:rsidR="007F1ACB" w:rsidRPr="00465E83" w:rsidRDefault="007F1ACB" w:rsidP="007F1ACB">
      <w:pPr>
        <w:widowControl w:val="0"/>
        <w:contextualSpacing/>
        <w:jc w:val="center"/>
        <w:rPr>
          <w:b/>
          <w:i/>
          <w:lang w:val="uk-UA"/>
        </w:rPr>
      </w:pPr>
      <w:r w:rsidRPr="00465E83">
        <w:rPr>
          <w:b/>
          <w:i/>
          <w:color w:val="000000"/>
          <w:lang w:val="uk-UA"/>
        </w:rPr>
        <w:t xml:space="preserve">(голосування на дистанційних </w:t>
      </w:r>
      <w:r w:rsidR="007F728D">
        <w:rPr>
          <w:b/>
          <w:i/>
          <w:color w:val="000000"/>
          <w:lang w:val="uk-UA"/>
        </w:rPr>
        <w:t>позачергових</w:t>
      </w:r>
      <w:r w:rsidRPr="00465E83">
        <w:rPr>
          <w:b/>
          <w:i/>
          <w:lang w:val="uk-UA"/>
        </w:rPr>
        <w:t xml:space="preserve"> Загальних зборах </w:t>
      </w:r>
      <w:r w:rsidR="002724CD">
        <w:rPr>
          <w:b/>
          <w:i/>
          <w:lang w:val="uk-UA"/>
        </w:rPr>
        <w:t>акціонерів</w:t>
      </w:r>
      <w:r w:rsidRPr="00465E83">
        <w:rPr>
          <w:b/>
          <w:i/>
          <w:lang w:val="uk-UA"/>
        </w:rPr>
        <w:t xml:space="preserve"> </w:t>
      </w:r>
    </w:p>
    <w:p w14:paraId="03989F7E" w14:textId="03842190" w:rsidR="007F1ACB" w:rsidRPr="002854AD" w:rsidRDefault="00146EF2" w:rsidP="002854AD">
      <w:pPr>
        <w:widowControl w:val="0"/>
        <w:contextualSpacing/>
        <w:jc w:val="center"/>
        <w:rPr>
          <w:b/>
          <w:i/>
          <w:color w:val="000000"/>
          <w:lang w:val="uk-UA"/>
        </w:rPr>
      </w:pPr>
      <w:r w:rsidRPr="00146EF2">
        <w:rPr>
          <w:b/>
          <w:sz w:val="22"/>
          <w:szCs w:val="22"/>
          <w:lang w:val="uk-UA"/>
        </w:rPr>
        <w:t>ПРИВАТНОГО АКЦІОНЕРНОГО ТОВАРИСТВА «КРАМАТОРСЬКИЙ ЗАВОД ВАЖКОГО ВЕРСТАТОБУДУВАННЯ»</w:t>
      </w:r>
      <w:r>
        <w:rPr>
          <w:b/>
          <w:sz w:val="22"/>
          <w:szCs w:val="22"/>
          <w:lang w:val="uk-UA"/>
        </w:rPr>
        <w:t xml:space="preserve"> </w:t>
      </w:r>
      <w:r w:rsidR="006B7D64">
        <w:rPr>
          <w:b/>
          <w:sz w:val="22"/>
          <w:szCs w:val="22"/>
          <w:lang w:val="uk-UA"/>
        </w:rPr>
        <w:t xml:space="preserve"> </w:t>
      </w:r>
      <w:r w:rsidR="007F1ACB" w:rsidRPr="002854AD">
        <w:rPr>
          <w:b/>
          <w:i/>
          <w:color w:val="000000"/>
          <w:lang w:val="uk-UA"/>
        </w:rPr>
        <w:t xml:space="preserve">починається </w:t>
      </w:r>
      <w:r w:rsidR="002854AD" w:rsidRPr="002854AD">
        <w:rPr>
          <w:b/>
          <w:i/>
        </w:rPr>
        <w:t xml:space="preserve">з </w:t>
      </w:r>
      <w:r>
        <w:rPr>
          <w:b/>
          <w:i/>
          <w:lang w:val="uk-UA"/>
        </w:rPr>
        <w:t>11</w:t>
      </w:r>
      <w:r w:rsidR="002854AD" w:rsidRPr="002854AD">
        <w:rPr>
          <w:b/>
          <w:i/>
        </w:rPr>
        <w:t xml:space="preserve"> години 00 хвилин дати розміщення бюлетеня для голосування</w:t>
      </w:r>
      <w:r w:rsidR="00F776EA">
        <w:rPr>
          <w:b/>
          <w:i/>
          <w:lang w:val="uk-UA"/>
        </w:rPr>
        <w:t xml:space="preserve"> – </w:t>
      </w:r>
      <w:r w:rsidR="00A54078">
        <w:rPr>
          <w:b/>
          <w:i/>
          <w:lang w:val="uk-UA"/>
        </w:rPr>
        <w:t>26</w:t>
      </w:r>
      <w:r w:rsidR="00567B7B">
        <w:rPr>
          <w:b/>
          <w:i/>
          <w:lang w:val="uk-UA"/>
        </w:rPr>
        <w:t xml:space="preserve"> січн</w:t>
      </w:r>
      <w:r w:rsidR="00F776EA">
        <w:rPr>
          <w:b/>
          <w:i/>
          <w:lang w:val="uk-UA"/>
        </w:rPr>
        <w:t>я 202</w:t>
      </w:r>
      <w:r w:rsidR="00567B7B">
        <w:rPr>
          <w:b/>
          <w:i/>
          <w:lang w:val="uk-UA"/>
        </w:rPr>
        <w:t>6</w:t>
      </w:r>
      <w:r w:rsidR="00F776EA">
        <w:rPr>
          <w:b/>
          <w:i/>
          <w:lang w:val="uk-UA"/>
        </w:rPr>
        <w:t xml:space="preserve"> року</w:t>
      </w:r>
      <w:r w:rsidR="002854AD" w:rsidRPr="002854AD">
        <w:rPr>
          <w:b/>
          <w:i/>
        </w:rPr>
        <w:t>. Голосування на загальних зборах </w:t>
      </w:r>
      <w:r w:rsidR="002854AD" w:rsidRPr="002854AD">
        <w:rPr>
          <w:rStyle w:val="ac"/>
          <w:i/>
        </w:rPr>
        <w:t xml:space="preserve">завершується о 18 годині 00 хвилин </w:t>
      </w:r>
      <w:r w:rsidR="00A54078">
        <w:rPr>
          <w:rStyle w:val="ac"/>
          <w:i/>
          <w:lang w:val="uk-UA"/>
        </w:rPr>
        <w:t>05 лютого</w:t>
      </w:r>
      <w:r w:rsidR="00567B7B" w:rsidRPr="00567B7B">
        <w:rPr>
          <w:rStyle w:val="ac"/>
          <w:i/>
          <w:lang w:val="uk-UA"/>
        </w:rPr>
        <w:t xml:space="preserve"> 2026 року</w:t>
      </w:r>
      <w:r w:rsidR="007F1ACB" w:rsidRPr="002854AD">
        <w:rPr>
          <w:i/>
          <w:color w:val="000000"/>
          <w:lang w:val="uk-UA"/>
        </w:rPr>
        <w:t>)</w:t>
      </w:r>
    </w:p>
    <w:p w14:paraId="112B50E9" w14:textId="77777777" w:rsidR="007F1ACB" w:rsidRPr="00AB2FD8" w:rsidRDefault="007F1ACB" w:rsidP="00E4040D">
      <w:pPr>
        <w:jc w:val="center"/>
        <w:rPr>
          <w:sz w:val="22"/>
          <w:szCs w:val="22"/>
          <w:lang w:val="uk-UA"/>
        </w:rPr>
      </w:pPr>
    </w:p>
    <w:p w14:paraId="45CBAD99" w14:textId="0AC58252" w:rsidR="00E4040D" w:rsidRPr="00AB2FD8" w:rsidRDefault="00E4040D" w:rsidP="00A94E11">
      <w:pPr>
        <w:spacing w:after="240"/>
        <w:jc w:val="both"/>
        <w:rPr>
          <w:sz w:val="22"/>
          <w:szCs w:val="22"/>
          <w:lang w:val="uk-UA"/>
        </w:rPr>
      </w:pPr>
      <w:r w:rsidRPr="00AB2FD8">
        <w:rPr>
          <w:b/>
          <w:sz w:val="22"/>
          <w:szCs w:val="22"/>
          <w:lang w:val="uk-UA"/>
        </w:rPr>
        <w:t xml:space="preserve">Дата проведення зборів (дата закінчення голосування): </w:t>
      </w:r>
      <w:r w:rsidR="00A54078">
        <w:rPr>
          <w:b/>
          <w:sz w:val="22"/>
          <w:szCs w:val="22"/>
          <w:lang w:val="uk-UA"/>
        </w:rPr>
        <w:t>05 лютого</w:t>
      </w:r>
      <w:r w:rsidR="00126FB2" w:rsidRPr="006B7D64">
        <w:rPr>
          <w:b/>
          <w:sz w:val="22"/>
          <w:szCs w:val="22"/>
          <w:lang w:val="uk-UA"/>
        </w:rPr>
        <w:t xml:space="preserve"> </w:t>
      </w:r>
      <w:r w:rsidR="00126FB2">
        <w:rPr>
          <w:b/>
          <w:sz w:val="22"/>
          <w:szCs w:val="22"/>
          <w:lang w:val="uk-UA"/>
        </w:rPr>
        <w:t>202</w:t>
      </w:r>
      <w:r w:rsidR="00D454FE">
        <w:rPr>
          <w:b/>
          <w:sz w:val="22"/>
          <w:szCs w:val="22"/>
          <w:lang w:val="uk-UA"/>
        </w:rPr>
        <w:t>6</w:t>
      </w:r>
      <w:r w:rsidRPr="00AB2FD8">
        <w:rPr>
          <w:b/>
          <w:sz w:val="22"/>
          <w:szCs w:val="22"/>
          <w:lang w:val="uk-UA"/>
        </w:rPr>
        <w:t xml:space="preserve"> року.</w:t>
      </w:r>
    </w:p>
    <w:p w14:paraId="31CF8DD7" w14:textId="3280054C" w:rsidR="00E4040D" w:rsidRPr="00AB2FD8" w:rsidRDefault="00E4040D" w:rsidP="00A94E11">
      <w:pPr>
        <w:spacing w:after="240"/>
        <w:jc w:val="both"/>
        <w:rPr>
          <w:b/>
          <w:sz w:val="22"/>
          <w:szCs w:val="22"/>
          <w:lang w:val="uk-UA"/>
        </w:rPr>
      </w:pPr>
      <w:r w:rsidRPr="00AB2FD8">
        <w:rPr>
          <w:b/>
          <w:sz w:val="22"/>
          <w:szCs w:val="22"/>
          <w:lang w:val="uk-UA"/>
        </w:rPr>
        <w:t xml:space="preserve">Дата заповнення бюлетеня </w:t>
      </w:r>
      <w:r w:rsidR="000C60A7">
        <w:rPr>
          <w:b/>
          <w:sz w:val="22"/>
          <w:szCs w:val="22"/>
          <w:lang w:val="uk-UA"/>
        </w:rPr>
        <w:t>акціонером</w:t>
      </w:r>
      <w:r w:rsidRPr="00AB2FD8">
        <w:rPr>
          <w:b/>
          <w:sz w:val="22"/>
          <w:szCs w:val="22"/>
          <w:lang w:val="uk-UA"/>
        </w:rPr>
        <w:t xml:space="preserve">/його представником </w:t>
      </w:r>
      <w:r w:rsidR="00763DB8">
        <w:rPr>
          <w:b/>
          <w:sz w:val="22"/>
          <w:szCs w:val="22"/>
          <w:lang w:val="uk-UA"/>
        </w:rPr>
        <w:t xml:space="preserve"> </w:t>
      </w:r>
      <w:r w:rsidR="00126FB2">
        <w:rPr>
          <w:b/>
          <w:sz w:val="22"/>
          <w:szCs w:val="22"/>
          <w:lang w:val="uk-UA"/>
        </w:rPr>
        <w:t>«____»</w:t>
      </w:r>
      <w:r w:rsidR="00146EF2">
        <w:rPr>
          <w:b/>
          <w:sz w:val="22"/>
          <w:szCs w:val="22"/>
          <w:lang w:val="uk-UA"/>
        </w:rPr>
        <w:t>_____</w:t>
      </w:r>
      <w:r w:rsidR="00BA1FF0">
        <w:rPr>
          <w:b/>
          <w:sz w:val="22"/>
          <w:szCs w:val="22"/>
          <w:lang w:val="uk-UA"/>
        </w:rPr>
        <w:t>202</w:t>
      </w:r>
      <w:r w:rsidR="00D454FE">
        <w:rPr>
          <w:b/>
          <w:sz w:val="22"/>
          <w:szCs w:val="22"/>
          <w:lang w:val="uk-UA"/>
        </w:rPr>
        <w:t>6</w:t>
      </w:r>
      <w:r w:rsidR="00BA1FF0">
        <w:rPr>
          <w:b/>
          <w:sz w:val="22"/>
          <w:szCs w:val="22"/>
          <w:lang w:val="uk-UA"/>
        </w:rPr>
        <w:t xml:space="preserve"> року.</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33A6A8CA" w14:textId="77777777" w:rsidTr="00B51CB5">
        <w:trPr>
          <w:trHeight w:val="483"/>
        </w:trPr>
        <w:tc>
          <w:tcPr>
            <w:tcW w:w="9498" w:type="dxa"/>
            <w:gridSpan w:val="2"/>
            <w:shd w:val="clear" w:color="auto" w:fill="D9D9D9"/>
            <w:vAlign w:val="center"/>
          </w:tcPr>
          <w:p w14:paraId="028140FC" w14:textId="77777777" w:rsidR="00B51CB5" w:rsidRPr="00D43D7A" w:rsidRDefault="00B51CB5" w:rsidP="00206821">
            <w:pPr>
              <w:contextualSpacing/>
              <w:rPr>
                <w:b/>
                <w:bCs/>
                <w:color w:val="000000"/>
                <w:sz w:val="20"/>
                <w:szCs w:val="20"/>
                <w:lang w:val="uk-UA"/>
              </w:rPr>
            </w:pPr>
            <w:r w:rsidRPr="00D43D7A">
              <w:rPr>
                <w:b/>
                <w:bCs/>
                <w:color w:val="000000"/>
                <w:sz w:val="20"/>
                <w:szCs w:val="20"/>
                <w:lang w:val="uk-UA"/>
              </w:rPr>
              <w:t>Реквізити акціонера:</w:t>
            </w:r>
          </w:p>
        </w:tc>
      </w:tr>
      <w:tr w:rsidR="00B51CB5" w:rsidRPr="00D43D7A" w14:paraId="4A2C707D" w14:textId="77777777" w:rsidTr="00B51CB5">
        <w:trPr>
          <w:trHeight w:val="593"/>
        </w:trPr>
        <w:tc>
          <w:tcPr>
            <w:tcW w:w="4928" w:type="dxa"/>
            <w:vAlign w:val="center"/>
          </w:tcPr>
          <w:p w14:paraId="1BA60B6E" w14:textId="77777777" w:rsidR="00B51CB5" w:rsidRPr="00D43D7A" w:rsidRDefault="00B51CB5" w:rsidP="00206821">
            <w:pPr>
              <w:contextualSpacing/>
              <w:rPr>
                <w:bCs/>
                <w:color w:val="000000"/>
                <w:sz w:val="20"/>
                <w:szCs w:val="20"/>
                <w:u w:val="single"/>
                <w:lang w:val="uk-UA"/>
              </w:rPr>
            </w:pPr>
            <w:r w:rsidRPr="00D43D7A">
              <w:rPr>
                <w:bCs/>
                <w:color w:val="000000"/>
                <w:sz w:val="20"/>
                <w:szCs w:val="20"/>
                <w:lang w:val="uk-UA"/>
              </w:rPr>
              <w:t>Прізвище, ім’я, по батькові /Найменування акціонера</w:t>
            </w:r>
          </w:p>
        </w:tc>
        <w:tc>
          <w:tcPr>
            <w:tcW w:w="4570" w:type="dxa"/>
          </w:tcPr>
          <w:p w14:paraId="4C112E5D" w14:textId="77777777" w:rsidR="00B51CB5" w:rsidRPr="00D43D7A" w:rsidRDefault="00B51CB5" w:rsidP="00206821">
            <w:pPr>
              <w:contextualSpacing/>
              <w:jc w:val="both"/>
              <w:rPr>
                <w:bCs/>
                <w:iCs/>
                <w:color w:val="000000"/>
                <w:sz w:val="20"/>
                <w:szCs w:val="20"/>
                <w:lang w:val="uk-UA"/>
              </w:rPr>
            </w:pPr>
          </w:p>
        </w:tc>
      </w:tr>
      <w:tr w:rsidR="00B51CB5" w:rsidRPr="00D43D7A" w14:paraId="236970C5" w14:textId="77777777" w:rsidTr="00B51CB5">
        <w:trPr>
          <w:trHeight w:val="580"/>
        </w:trPr>
        <w:tc>
          <w:tcPr>
            <w:tcW w:w="4928" w:type="dxa"/>
            <w:vAlign w:val="center"/>
          </w:tcPr>
          <w:p w14:paraId="25E448EC" w14:textId="77777777" w:rsidR="00B51CB5" w:rsidRPr="00D43D7A" w:rsidRDefault="00B51CB5" w:rsidP="00206821">
            <w:pPr>
              <w:contextualSpacing/>
              <w:rPr>
                <w:sz w:val="20"/>
                <w:szCs w:val="20"/>
                <w:lang w:val="uk-UA"/>
              </w:rPr>
            </w:pPr>
            <w:r w:rsidRPr="00D43D7A">
              <w:rPr>
                <w:sz w:val="20"/>
                <w:szCs w:val="20"/>
                <w:lang w:val="uk-UA"/>
              </w:rPr>
              <w:t xml:space="preserve">Назва, серія (за наявності), номер, дата видачі документа, що посвідчує особу акціонера </w:t>
            </w:r>
            <w:r w:rsidRPr="00D43D7A">
              <w:rPr>
                <w:i/>
                <w:sz w:val="20"/>
                <w:szCs w:val="20"/>
                <w:lang w:val="uk-UA"/>
              </w:rPr>
              <w:t>(для фізичної особи)</w:t>
            </w:r>
          </w:p>
        </w:tc>
        <w:tc>
          <w:tcPr>
            <w:tcW w:w="4570" w:type="dxa"/>
          </w:tcPr>
          <w:p w14:paraId="41CE5396" w14:textId="77777777" w:rsidR="00B51CB5" w:rsidRPr="00D43D7A" w:rsidRDefault="00B51CB5" w:rsidP="00206821">
            <w:pPr>
              <w:contextualSpacing/>
              <w:jc w:val="both"/>
              <w:rPr>
                <w:bCs/>
                <w:sz w:val="20"/>
                <w:szCs w:val="20"/>
                <w:lang w:val="uk-UA"/>
              </w:rPr>
            </w:pPr>
          </w:p>
        </w:tc>
      </w:tr>
      <w:tr w:rsidR="00B51CB5" w:rsidRPr="00D43D7A" w14:paraId="250B94C3" w14:textId="77777777" w:rsidTr="00B51CB5">
        <w:trPr>
          <w:trHeight w:val="1900"/>
        </w:trPr>
        <w:tc>
          <w:tcPr>
            <w:tcW w:w="4928" w:type="dxa"/>
            <w:vAlign w:val="center"/>
          </w:tcPr>
          <w:p w14:paraId="1F17EFCA"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акціонера –  фізичної особи (за наявності))</w:t>
            </w:r>
          </w:p>
          <w:p w14:paraId="7456D107" w14:textId="77777777" w:rsidR="00B51CB5" w:rsidRPr="00D43D7A" w:rsidRDefault="00B51CB5" w:rsidP="00206821">
            <w:pPr>
              <w:contextualSpacing/>
              <w:rPr>
                <w:sz w:val="20"/>
                <w:szCs w:val="20"/>
                <w:lang w:val="uk-UA"/>
              </w:rPr>
            </w:pPr>
            <w:r w:rsidRPr="00D43D7A">
              <w:rPr>
                <w:sz w:val="20"/>
                <w:szCs w:val="20"/>
                <w:lang w:val="uk-UA"/>
              </w:rPr>
              <w:t>або</w:t>
            </w:r>
          </w:p>
          <w:p w14:paraId="419DDFAC" w14:textId="77777777" w:rsidR="00B51CB5" w:rsidRPr="00D43D7A" w:rsidRDefault="00B51CB5" w:rsidP="00206821">
            <w:pPr>
              <w:contextualSpacing/>
              <w:rPr>
                <w:sz w:val="20"/>
                <w:szCs w:val="20"/>
                <w:lang w:val="uk-UA"/>
              </w:rPr>
            </w:pPr>
            <w:r w:rsidRPr="00D43D7A">
              <w:rPr>
                <w:sz w:val="20"/>
                <w:szCs w:val="20"/>
                <w:lang w:val="uk-UA"/>
              </w:rPr>
              <w:t xml:space="preserve">ідентифікаційний код юридичної особи (Код за ЄДРПОУ) –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r w:rsidRPr="00D43D7A">
              <w:rPr>
                <w:sz w:val="20"/>
                <w:szCs w:val="20"/>
                <w:lang w:val="uk-UA"/>
              </w:rPr>
              <w:t xml:space="preserve"> </w:t>
            </w:r>
          </w:p>
        </w:tc>
        <w:tc>
          <w:tcPr>
            <w:tcW w:w="4570" w:type="dxa"/>
          </w:tcPr>
          <w:p w14:paraId="609A9323" w14:textId="77777777" w:rsidR="00B51CB5" w:rsidRPr="00D43D7A" w:rsidRDefault="00B51CB5" w:rsidP="00206821">
            <w:pPr>
              <w:contextualSpacing/>
              <w:jc w:val="both"/>
              <w:rPr>
                <w:b/>
                <w:bCs/>
                <w:sz w:val="20"/>
                <w:szCs w:val="20"/>
                <w:lang w:val="uk-UA"/>
              </w:rPr>
            </w:pPr>
          </w:p>
        </w:tc>
      </w:tr>
    </w:tbl>
    <w:p w14:paraId="4856B7A9" w14:textId="77777777" w:rsidR="00B51CB5" w:rsidRDefault="00B51CB5" w:rsidP="00A94E11">
      <w:pPr>
        <w:spacing w:after="240"/>
        <w:jc w:val="both"/>
        <w:rPr>
          <w:b/>
          <w:sz w:val="22"/>
          <w:szCs w:val="22"/>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7A7452C1" w14:textId="77777777" w:rsidTr="00B51CB5">
        <w:trPr>
          <w:trHeight w:val="472"/>
        </w:trPr>
        <w:tc>
          <w:tcPr>
            <w:tcW w:w="9498" w:type="dxa"/>
            <w:gridSpan w:val="2"/>
            <w:shd w:val="clear" w:color="auto" w:fill="D9D9D9"/>
            <w:vAlign w:val="center"/>
          </w:tcPr>
          <w:p w14:paraId="41D0986D" w14:textId="77777777" w:rsidR="00B51CB5" w:rsidRPr="00D43D7A" w:rsidRDefault="00B51CB5" w:rsidP="00206821">
            <w:pPr>
              <w:contextualSpacing/>
              <w:rPr>
                <w:b/>
                <w:sz w:val="20"/>
                <w:szCs w:val="20"/>
                <w:lang w:val="uk-UA"/>
              </w:rPr>
            </w:pPr>
            <w:r w:rsidRPr="00D43D7A">
              <w:rPr>
                <w:b/>
                <w:sz w:val="20"/>
                <w:szCs w:val="20"/>
                <w:lang w:val="uk-UA"/>
              </w:rPr>
              <w:t xml:space="preserve">Реквізити представника акціонера (за наявності):  </w:t>
            </w:r>
          </w:p>
        </w:tc>
      </w:tr>
      <w:tr w:rsidR="00B51CB5" w:rsidRPr="00D43D7A" w14:paraId="6D8E75EB" w14:textId="77777777" w:rsidTr="00B51CB5">
        <w:trPr>
          <w:trHeight w:val="286"/>
        </w:trPr>
        <w:tc>
          <w:tcPr>
            <w:tcW w:w="4928" w:type="dxa"/>
            <w:vAlign w:val="center"/>
          </w:tcPr>
          <w:p w14:paraId="5B97A90D" w14:textId="77777777" w:rsidR="00B51CB5" w:rsidRPr="00D43D7A" w:rsidRDefault="00B51CB5" w:rsidP="00206821">
            <w:pPr>
              <w:contextualSpacing/>
              <w:rPr>
                <w:sz w:val="20"/>
                <w:szCs w:val="20"/>
                <w:lang w:val="uk-UA"/>
              </w:rPr>
            </w:pPr>
            <w:r w:rsidRPr="00D43D7A">
              <w:rPr>
                <w:bCs/>
                <w:color w:val="000000"/>
                <w:sz w:val="20"/>
                <w:szCs w:val="20"/>
                <w:lang w:val="uk-UA"/>
              </w:rPr>
              <w:t>Прізвище, ім’я, по батькові / Найменування</w:t>
            </w:r>
            <w:r w:rsidRPr="00D43D7A">
              <w:rPr>
                <w:sz w:val="20"/>
                <w:szCs w:val="20"/>
                <w:lang w:val="uk-UA"/>
              </w:rPr>
              <w:t xml:space="preserve"> представника акціонера</w:t>
            </w:r>
          </w:p>
          <w:p w14:paraId="643D4A23" w14:textId="77777777" w:rsidR="00B51CB5" w:rsidRPr="00D43D7A" w:rsidRDefault="00B51CB5" w:rsidP="00206821">
            <w:pPr>
              <w:contextualSpacing/>
              <w:rPr>
                <w:i/>
                <w:sz w:val="20"/>
                <w:szCs w:val="20"/>
                <w:lang w:val="uk-UA"/>
              </w:rPr>
            </w:pPr>
            <w:r w:rsidRPr="00D43D7A">
              <w:rPr>
                <w:i/>
                <w:sz w:val="20"/>
                <w:szCs w:val="20"/>
                <w:lang w:val="uk-UA"/>
              </w:rPr>
              <w:t>(а також п</w:t>
            </w:r>
            <w:r w:rsidRPr="00D43D7A">
              <w:rPr>
                <w:bCs/>
                <w:i/>
                <w:color w:val="000000"/>
                <w:sz w:val="20"/>
                <w:szCs w:val="20"/>
                <w:lang w:val="uk-UA"/>
              </w:rPr>
              <w:t>різвище, ім’я, по батькові</w:t>
            </w:r>
            <w:r w:rsidRPr="00D43D7A">
              <w:rPr>
                <w:i/>
                <w:sz w:val="20"/>
                <w:szCs w:val="20"/>
                <w:lang w:val="uk-UA"/>
              </w:rPr>
              <w:t xml:space="preserve"> фізичної особи – представника юридичної особи – представника акціонера (за наявності))</w:t>
            </w:r>
          </w:p>
          <w:p w14:paraId="1E520891" w14:textId="77777777" w:rsidR="00B51CB5" w:rsidRPr="00D43D7A" w:rsidRDefault="00B51CB5" w:rsidP="00206821">
            <w:pPr>
              <w:contextualSpacing/>
              <w:rPr>
                <w:i/>
                <w:sz w:val="20"/>
                <w:szCs w:val="20"/>
                <w:lang w:val="uk-UA"/>
              </w:rPr>
            </w:pPr>
          </w:p>
        </w:tc>
        <w:tc>
          <w:tcPr>
            <w:tcW w:w="4570" w:type="dxa"/>
          </w:tcPr>
          <w:p w14:paraId="4C1F7313" w14:textId="77777777" w:rsidR="00B51CB5" w:rsidRPr="00D43D7A" w:rsidRDefault="00B51CB5" w:rsidP="00206821">
            <w:pPr>
              <w:contextualSpacing/>
              <w:jc w:val="both"/>
              <w:rPr>
                <w:bCs/>
                <w:sz w:val="20"/>
                <w:szCs w:val="20"/>
                <w:lang w:val="uk-UA"/>
              </w:rPr>
            </w:pPr>
          </w:p>
        </w:tc>
      </w:tr>
      <w:tr w:rsidR="00B51CB5" w:rsidRPr="00D43D7A" w14:paraId="607AF1D7" w14:textId="77777777" w:rsidTr="00B51CB5">
        <w:trPr>
          <w:trHeight w:val="1028"/>
        </w:trPr>
        <w:tc>
          <w:tcPr>
            <w:tcW w:w="4928" w:type="dxa"/>
          </w:tcPr>
          <w:p w14:paraId="0D4EA64B" w14:textId="77777777" w:rsidR="00B51CB5" w:rsidRPr="00D43D7A" w:rsidRDefault="00B51CB5" w:rsidP="00206821">
            <w:pPr>
              <w:contextualSpacing/>
              <w:jc w:val="both"/>
              <w:rPr>
                <w:sz w:val="20"/>
                <w:szCs w:val="20"/>
                <w:lang w:val="uk-UA"/>
              </w:rPr>
            </w:pPr>
            <w:r w:rsidRPr="00D43D7A">
              <w:rPr>
                <w:sz w:val="20"/>
                <w:szCs w:val="20"/>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D43D7A">
              <w:rPr>
                <w:i/>
                <w:sz w:val="20"/>
                <w:szCs w:val="20"/>
                <w:lang w:val="uk-UA"/>
              </w:rPr>
              <w:t>(для фізичної особи)</w:t>
            </w:r>
          </w:p>
        </w:tc>
        <w:tc>
          <w:tcPr>
            <w:tcW w:w="4570" w:type="dxa"/>
          </w:tcPr>
          <w:p w14:paraId="1D4E50B5" w14:textId="77777777" w:rsidR="00B51CB5" w:rsidRPr="00D43D7A" w:rsidRDefault="00B51CB5" w:rsidP="00206821">
            <w:pPr>
              <w:contextualSpacing/>
              <w:jc w:val="both"/>
              <w:rPr>
                <w:b/>
                <w:bCs/>
                <w:sz w:val="20"/>
                <w:szCs w:val="20"/>
                <w:lang w:val="uk-UA"/>
              </w:rPr>
            </w:pPr>
          </w:p>
        </w:tc>
      </w:tr>
      <w:tr w:rsidR="00B51CB5" w:rsidRPr="00D43D7A" w14:paraId="6F789BE4" w14:textId="77777777" w:rsidTr="00B51CB5">
        <w:trPr>
          <w:trHeight w:val="692"/>
        </w:trPr>
        <w:tc>
          <w:tcPr>
            <w:tcW w:w="4928" w:type="dxa"/>
          </w:tcPr>
          <w:p w14:paraId="679CA6E3"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7FBB2DE0" w14:textId="77777777" w:rsidR="00B51CB5" w:rsidRPr="00D43D7A" w:rsidRDefault="00B51CB5" w:rsidP="00206821">
            <w:pPr>
              <w:contextualSpacing/>
              <w:rPr>
                <w:sz w:val="20"/>
                <w:szCs w:val="20"/>
                <w:lang w:val="uk-UA"/>
              </w:rPr>
            </w:pPr>
            <w:r w:rsidRPr="00D43D7A">
              <w:rPr>
                <w:sz w:val="20"/>
                <w:szCs w:val="20"/>
                <w:lang w:val="uk-UA"/>
              </w:rPr>
              <w:t xml:space="preserve">та за наявності ідентифікаційний код юридичної особи (Код за ЄДРПОУ) – представника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p>
        </w:tc>
        <w:tc>
          <w:tcPr>
            <w:tcW w:w="4570" w:type="dxa"/>
          </w:tcPr>
          <w:p w14:paraId="4ADBDB4B" w14:textId="77777777" w:rsidR="00B51CB5" w:rsidRPr="00D43D7A" w:rsidRDefault="00B51CB5" w:rsidP="00206821">
            <w:pPr>
              <w:contextualSpacing/>
              <w:jc w:val="both"/>
              <w:rPr>
                <w:bCs/>
                <w:sz w:val="20"/>
                <w:szCs w:val="20"/>
                <w:lang w:val="uk-UA"/>
              </w:rPr>
            </w:pPr>
          </w:p>
        </w:tc>
      </w:tr>
      <w:tr w:rsidR="00B51CB5" w:rsidRPr="00D43D7A" w14:paraId="618135C2" w14:textId="77777777" w:rsidTr="00B51CB5">
        <w:trPr>
          <w:trHeight w:val="628"/>
        </w:trPr>
        <w:tc>
          <w:tcPr>
            <w:tcW w:w="4928" w:type="dxa"/>
          </w:tcPr>
          <w:p w14:paraId="01017D42" w14:textId="77777777" w:rsidR="00B51CB5" w:rsidRPr="00D43D7A" w:rsidRDefault="00B51CB5" w:rsidP="00206821">
            <w:pPr>
              <w:contextualSpacing/>
              <w:jc w:val="both"/>
              <w:rPr>
                <w:sz w:val="20"/>
                <w:szCs w:val="20"/>
                <w:lang w:val="uk-UA"/>
              </w:rPr>
            </w:pPr>
            <w:r w:rsidRPr="00D43D7A">
              <w:rPr>
                <w:sz w:val="20"/>
                <w:szCs w:val="20"/>
                <w:lang w:val="uk-UA"/>
              </w:rPr>
              <w:t xml:space="preserve">Документ на підставі якого діє представник акціонера </w:t>
            </w:r>
            <w:r w:rsidRPr="00D43D7A">
              <w:rPr>
                <w:i/>
                <w:sz w:val="20"/>
                <w:szCs w:val="20"/>
                <w:lang w:val="uk-UA"/>
              </w:rPr>
              <w:t>(дата видачі, строк дії та номер)</w:t>
            </w:r>
          </w:p>
        </w:tc>
        <w:tc>
          <w:tcPr>
            <w:tcW w:w="4570" w:type="dxa"/>
          </w:tcPr>
          <w:p w14:paraId="312EF12B" w14:textId="77777777" w:rsidR="00B51CB5" w:rsidRPr="00D43D7A" w:rsidRDefault="00B51CB5" w:rsidP="00206821">
            <w:pPr>
              <w:tabs>
                <w:tab w:val="right" w:pos="9923"/>
              </w:tabs>
              <w:ind w:right="140" w:firstLine="426"/>
              <w:jc w:val="both"/>
              <w:rPr>
                <w:b/>
                <w:sz w:val="28"/>
                <w:lang w:val="uk-UA"/>
              </w:rPr>
            </w:pPr>
          </w:p>
          <w:p w14:paraId="70E6CE32" w14:textId="77777777" w:rsidR="00B51CB5" w:rsidRPr="00D43D7A" w:rsidRDefault="00B51CB5" w:rsidP="00206821">
            <w:pPr>
              <w:contextualSpacing/>
              <w:jc w:val="both"/>
              <w:rPr>
                <w:bCs/>
                <w:sz w:val="20"/>
                <w:szCs w:val="20"/>
                <w:lang w:val="uk-UA"/>
              </w:rPr>
            </w:pPr>
          </w:p>
        </w:tc>
      </w:tr>
    </w:tbl>
    <w:p w14:paraId="34F830C3" w14:textId="77777777" w:rsidR="00E4040D" w:rsidRPr="00AC5C61" w:rsidRDefault="00E4040D" w:rsidP="00E4040D">
      <w:pPr>
        <w:spacing w:after="120"/>
        <w:ind w:firstLine="567"/>
        <w:jc w:val="both"/>
        <w:rPr>
          <w:i/>
          <w:sz w:val="20"/>
          <w:szCs w:val="20"/>
          <w:u w:val="single"/>
          <w:lang w:val="uk-U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836"/>
      </w:tblGrid>
      <w:tr w:rsidR="00151CD4" w:rsidRPr="00825565" w14:paraId="5B3AF571" w14:textId="77777777" w:rsidTr="00342D90">
        <w:trPr>
          <w:trHeight w:val="559"/>
        </w:trPr>
        <w:tc>
          <w:tcPr>
            <w:tcW w:w="9540" w:type="dxa"/>
            <w:gridSpan w:val="2"/>
            <w:shd w:val="clear" w:color="auto" w:fill="D9D9D9"/>
            <w:vAlign w:val="center"/>
          </w:tcPr>
          <w:p w14:paraId="30738826" w14:textId="77777777" w:rsidR="00151CD4" w:rsidRPr="00465E83" w:rsidRDefault="00151CD4" w:rsidP="00342D90">
            <w:pPr>
              <w:contextualSpacing/>
              <w:rPr>
                <w:b/>
                <w:bCs/>
                <w:sz w:val="20"/>
                <w:szCs w:val="20"/>
                <w:lang w:val="uk-UA"/>
              </w:rPr>
            </w:pPr>
            <w:r w:rsidRPr="00465E83">
              <w:rPr>
                <w:b/>
                <w:bCs/>
                <w:color w:val="000000"/>
                <w:sz w:val="20"/>
                <w:szCs w:val="20"/>
                <w:lang w:val="uk-UA"/>
              </w:rPr>
              <w:t>Кількість голосів, що належать акціонеру:</w:t>
            </w:r>
          </w:p>
        </w:tc>
      </w:tr>
      <w:tr w:rsidR="00146EF2" w:rsidRPr="00825565" w14:paraId="08D36AC5" w14:textId="77777777" w:rsidTr="00146EF2">
        <w:trPr>
          <w:trHeight w:val="116"/>
        </w:trPr>
        <w:tc>
          <w:tcPr>
            <w:tcW w:w="2704" w:type="dxa"/>
          </w:tcPr>
          <w:p w14:paraId="7FE6CF81" w14:textId="77777777" w:rsidR="00146EF2" w:rsidRPr="00CF4D6E" w:rsidRDefault="00146EF2" w:rsidP="00342D90">
            <w:pPr>
              <w:contextualSpacing/>
              <w:jc w:val="both"/>
              <w:rPr>
                <w:bCs/>
                <w:lang w:val="uk-UA"/>
              </w:rPr>
            </w:pPr>
          </w:p>
        </w:tc>
        <w:tc>
          <w:tcPr>
            <w:tcW w:w="6836" w:type="dxa"/>
          </w:tcPr>
          <w:p w14:paraId="54B397CD" w14:textId="77777777" w:rsidR="00146EF2" w:rsidRPr="00465E83" w:rsidRDefault="00146EF2" w:rsidP="00F824A5">
            <w:pPr>
              <w:contextualSpacing/>
              <w:jc w:val="center"/>
              <w:rPr>
                <w:bCs/>
                <w:sz w:val="20"/>
                <w:szCs w:val="20"/>
                <w:lang w:val="uk-UA"/>
              </w:rPr>
            </w:pPr>
          </w:p>
        </w:tc>
      </w:tr>
      <w:tr w:rsidR="00B51CB5" w:rsidRPr="00825565" w14:paraId="18823745" w14:textId="77777777" w:rsidTr="003458DC">
        <w:trPr>
          <w:trHeight w:val="427"/>
        </w:trPr>
        <w:tc>
          <w:tcPr>
            <w:tcW w:w="2704" w:type="dxa"/>
            <w:vAlign w:val="center"/>
          </w:tcPr>
          <w:p w14:paraId="31B3AC22" w14:textId="77777777" w:rsidR="00B51CB5" w:rsidRPr="00825565" w:rsidRDefault="00B51CB5" w:rsidP="00342D90">
            <w:pPr>
              <w:contextualSpacing/>
              <w:jc w:val="center"/>
              <w:rPr>
                <w:bCs/>
                <w:i/>
                <w:color w:val="000000"/>
                <w:sz w:val="20"/>
                <w:szCs w:val="20"/>
              </w:rPr>
            </w:pPr>
            <w:r w:rsidRPr="00825565">
              <w:rPr>
                <w:bCs/>
                <w:i/>
                <w:color w:val="000000"/>
                <w:sz w:val="20"/>
                <w:szCs w:val="20"/>
              </w:rPr>
              <w:t>(кількість голосів числом)</w:t>
            </w:r>
          </w:p>
        </w:tc>
        <w:tc>
          <w:tcPr>
            <w:tcW w:w="6836" w:type="dxa"/>
          </w:tcPr>
          <w:p w14:paraId="54DF6067" w14:textId="77777777" w:rsidR="00B51CB5" w:rsidRPr="00465E83" w:rsidRDefault="00B51CB5" w:rsidP="00342D90">
            <w:pPr>
              <w:contextualSpacing/>
              <w:jc w:val="center"/>
              <w:rPr>
                <w:bCs/>
                <w:sz w:val="20"/>
                <w:szCs w:val="20"/>
                <w:lang w:val="uk-UA"/>
              </w:rPr>
            </w:pPr>
            <w:r w:rsidRPr="00465E83">
              <w:rPr>
                <w:bCs/>
                <w:i/>
                <w:sz w:val="20"/>
                <w:szCs w:val="20"/>
                <w:lang w:val="uk-UA"/>
              </w:rPr>
              <w:t>(кількість голосів прописом)</w:t>
            </w:r>
          </w:p>
        </w:tc>
      </w:tr>
    </w:tbl>
    <w:p w14:paraId="568F2277" w14:textId="77777777" w:rsidR="00E4040D" w:rsidRPr="006B7D64" w:rsidRDefault="00E4040D" w:rsidP="00151CD4">
      <w:pPr>
        <w:spacing w:after="120"/>
        <w:ind w:right="-37"/>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45"/>
        <w:gridCol w:w="1162"/>
        <w:gridCol w:w="1276"/>
        <w:gridCol w:w="113"/>
      </w:tblGrid>
      <w:tr w:rsidR="00E4040D" w:rsidRPr="00AB2FD8" w14:paraId="51EEDD95" w14:textId="77777777" w:rsidTr="003458DC">
        <w:trPr>
          <w:trHeight w:val="133"/>
        </w:trPr>
        <w:tc>
          <w:tcPr>
            <w:tcW w:w="1843" w:type="dxa"/>
          </w:tcPr>
          <w:p w14:paraId="4C2A053F" w14:textId="77777777" w:rsidR="00E4040D" w:rsidRPr="00AB2FD8" w:rsidRDefault="00E4040D" w:rsidP="00342D90">
            <w:pPr>
              <w:ind w:right="-37"/>
              <w:jc w:val="both"/>
              <w:rPr>
                <w:b/>
                <w:sz w:val="22"/>
                <w:szCs w:val="22"/>
                <w:lang w:val="uk-UA"/>
              </w:rPr>
            </w:pPr>
            <w:r w:rsidRPr="00AB2FD8">
              <w:rPr>
                <w:b/>
                <w:sz w:val="22"/>
                <w:szCs w:val="22"/>
                <w:lang w:val="uk-UA"/>
              </w:rPr>
              <w:t>№ питання порядку денного</w:t>
            </w:r>
          </w:p>
        </w:tc>
        <w:tc>
          <w:tcPr>
            <w:tcW w:w="7796" w:type="dxa"/>
            <w:gridSpan w:val="4"/>
          </w:tcPr>
          <w:p w14:paraId="03182FD0" w14:textId="77777777" w:rsidR="00E4040D" w:rsidRPr="00AB2FD8" w:rsidRDefault="00E4040D" w:rsidP="00342D90">
            <w:pPr>
              <w:ind w:right="-37"/>
              <w:jc w:val="both"/>
              <w:rPr>
                <w:b/>
                <w:sz w:val="22"/>
                <w:szCs w:val="22"/>
                <w:lang w:val="uk-UA"/>
              </w:rPr>
            </w:pPr>
            <w:r w:rsidRPr="00AB2FD8">
              <w:rPr>
                <w:b/>
                <w:sz w:val="22"/>
                <w:szCs w:val="22"/>
                <w:lang w:val="uk-UA"/>
              </w:rPr>
              <w:t>Питання ПЕРШЕ порядку денного, винесене на голосування</w:t>
            </w:r>
          </w:p>
        </w:tc>
      </w:tr>
      <w:tr w:rsidR="00E4040D" w:rsidRPr="005809BA" w14:paraId="0AF53F90" w14:textId="77777777" w:rsidTr="003458DC">
        <w:trPr>
          <w:trHeight w:val="133"/>
        </w:trPr>
        <w:tc>
          <w:tcPr>
            <w:tcW w:w="1843" w:type="dxa"/>
            <w:tcBorders>
              <w:bottom w:val="single" w:sz="4" w:space="0" w:color="auto"/>
            </w:tcBorders>
          </w:tcPr>
          <w:p w14:paraId="53B77E9D" w14:textId="77777777" w:rsidR="00E4040D" w:rsidRPr="00AB2FD8" w:rsidRDefault="00E4040D" w:rsidP="00342D90">
            <w:pPr>
              <w:ind w:right="-37"/>
              <w:jc w:val="center"/>
              <w:rPr>
                <w:b/>
                <w:sz w:val="22"/>
                <w:szCs w:val="22"/>
                <w:lang w:val="uk-UA"/>
              </w:rPr>
            </w:pPr>
            <w:r w:rsidRPr="00AB2FD8">
              <w:rPr>
                <w:b/>
                <w:sz w:val="22"/>
                <w:szCs w:val="22"/>
                <w:lang w:val="en-US"/>
              </w:rPr>
              <w:t>1</w:t>
            </w:r>
          </w:p>
        </w:tc>
        <w:tc>
          <w:tcPr>
            <w:tcW w:w="7796" w:type="dxa"/>
            <w:gridSpan w:val="4"/>
            <w:tcBorders>
              <w:bottom w:val="single" w:sz="4" w:space="0" w:color="auto"/>
            </w:tcBorders>
          </w:tcPr>
          <w:p w14:paraId="123EB6BE" w14:textId="6B59CCED" w:rsidR="00E4040D" w:rsidRPr="00713C58" w:rsidRDefault="005809BA" w:rsidP="005809BA">
            <w:pPr>
              <w:contextualSpacing/>
              <w:jc w:val="both"/>
              <w:rPr>
                <w:b/>
                <w:sz w:val="20"/>
                <w:szCs w:val="20"/>
                <w:lang w:val="uk-UA"/>
              </w:rPr>
            </w:pPr>
            <w:r w:rsidRPr="005809BA">
              <w:rPr>
                <w:rFonts w:eastAsia="Calibri"/>
                <w:b/>
                <w:iCs/>
                <w:color w:val="000000"/>
                <w:sz w:val="22"/>
                <w:szCs w:val="22"/>
                <w:lang w:val="uk-UA"/>
              </w:rPr>
              <w:t>Про попереднє надання згоди на вчинення значних правочинів та правочинів із заінтересованістю, які можуть вчинятися Товариством протягом не більше як одного року з дати прийняття рішення, із зазначенням характеру правочинів та їх граничної сукупної вартості.</w:t>
            </w:r>
          </w:p>
        </w:tc>
      </w:tr>
      <w:tr w:rsidR="0098076C" w:rsidRPr="00AB2FD8" w14:paraId="0BD7AD33" w14:textId="77777777" w:rsidTr="003458DC">
        <w:trPr>
          <w:gridAfter w:val="1"/>
          <w:wAfter w:w="113" w:type="dxa"/>
          <w:trHeight w:val="133"/>
        </w:trPr>
        <w:tc>
          <w:tcPr>
            <w:tcW w:w="7088" w:type="dxa"/>
            <w:gridSpan w:val="2"/>
            <w:tcBorders>
              <w:top w:val="single" w:sz="4" w:space="0" w:color="auto"/>
              <w:bottom w:val="single" w:sz="4" w:space="0" w:color="auto"/>
            </w:tcBorders>
          </w:tcPr>
          <w:p w14:paraId="7D94350D" w14:textId="77777777" w:rsidR="0098076C" w:rsidRPr="00AB2FD8" w:rsidRDefault="0098076C" w:rsidP="00342D90">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39C42756" w14:textId="77777777" w:rsidR="0098076C" w:rsidRPr="00AB2FD8" w:rsidRDefault="0098076C" w:rsidP="00342D90">
            <w:pPr>
              <w:ind w:right="-37"/>
              <w:jc w:val="both"/>
              <w:rPr>
                <w:sz w:val="22"/>
                <w:szCs w:val="22"/>
                <w:lang w:val="uk-UA"/>
              </w:rPr>
            </w:pPr>
            <w:r w:rsidRPr="00AB2FD8">
              <w:rPr>
                <w:sz w:val="22"/>
                <w:szCs w:val="22"/>
                <w:lang w:val="uk-UA"/>
              </w:rPr>
              <w:t>За</w:t>
            </w:r>
          </w:p>
        </w:tc>
        <w:tc>
          <w:tcPr>
            <w:tcW w:w="1276" w:type="dxa"/>
            <w:tcBorders>
              <w:top w:val="single" w:sz="4" w:space="0" w:color="auto"/>
              <w:bottom w:val="single" w:sz="4" w:space="0" w:color="auto"/>
            </w:tcBorders>
            <w:shd w:val="clear" w:color="auto" w:fill="E7E6E6" w:themeFill="background2"/>
          </w:tcPr>
          <w:p w14:paraId="3525F292" w14:textId="77777777" w:rsidR="0098076C" w:rsidRPr="00AB2FD8" w:rsidRDefault="0098076C" w:rsidP="0098076C">
            <w:pPr>
              <w:ind w:right="-37"/>
              <w:jc w:val="center"/>
              <w:rPr>
                <w:sz w:val="22"/>
                <w:szCs w:val="22"/>
                <w:lang w:val="uk-UA"/>
              </w:rPr>
            </w:pPr>
            <w:r w:rsidRPr="00AB2FD8">
              <w:rPr>
                <w:sz w:val="22"/>
                <w:szCs w:val="22"/>
                <w:lang w:val="uk-UA"/>
              </w:rPr>
              <w:t>Проти</w:t>
            </w:r>
          </w:p>
        </w:tc>
      </w:tr>
      <w:tr w:rsidR="0098076C" w:rsidRPr="005809BA" w14:paraId="5CBD435D" w14:textId="77777777" w:rsidTr="003458DC">
        <w:trPr>
          <w:gridAfter w:val="1"/>
          <w:wAfter w:w="113" w:type="dxa"/>
          <w:trHeight w:val="133"/>
        </w:trPr>
        <w:tc>
          <w:tcPr>
            <w:tcW w:w="7088" w:type="dxa"/>
            <w:gridSpan w:val="2"/>
            <w:tcBorders>
              <w:top w:val="single" w:sz="4" w:space="0" w:color="auto"/>
              <w:bottom w:val="single" w:sz="4" w:space="0" w:color="auto"/>
            </w:tcBorders>
          </w:tcPr>
          <w:p w14:paraId="6C1C2F0D" w14:textId="77777777" w:rsidR="0098076C" w:rsidRPr="00D2464D" w:rsidRDefault="0098076C" w:rsidP="00342D90">
            <w:pPr>
              <w:jc w:val="both"/>
              <w:rPr>
                <w:sz w:val="22"/>
                <w:szCs w:val="22"/>
                <w:u w:val="single"/>
              </w:rPr>
            </w:pPr>
            <w:r w:rsidRPr="00D2464D">
              <w:rPr>
                <w:sz w:val="22"/>
                <w:szCs w:val="22"/>
                <w:u w:val="single"/>
                <w:lang w:val="uk-UA"/>
              </w:rPr>
              <w:t>Проект рішення:</w:t>
            </w:r>
          </w:p>
          <w:p w14:paraId="1CA0D807" w14:textId="77777777" w:rsidR="005809BA" w:rsidRPr="005809BA" w:rsidRDefault="005809BA" w:rsidP="005809BA">
            <w:pPr>
              <w:tabs>
                <w:tab w:val="num" w:pos="0"/>
              </w:tabs>
              <w:ind w:firstLine="708"/>
              <w:jc w:val="both"/>
              <w:rPr>
                <w:rFonts w:eastAsia="Calibri"/>
                <w:sz w:val="22"/>
                <w:szCs w:val="22"/>
                <w:lang w:val="uk-UA"/>
              </w:rPr>
            </w:pPr>
            <w:r w:rsidRPr="005809BA">
              <w:rPr>
                <w:rFonts w:eastAsia="Calibri"/>
                <w:sz w:val="22"/>
                <w:szCs w:val="22"/>
                <w:lang w:val="uk-UA"/>
              </w:rPr>
              <w:t xml:space="preserve">Попередньо надати згоду на вчинення значних правочинів та правочинів із заінтересованістю, які можуть вчинятися Товариством протягом не більш як одного року з дати прийняття цього рішення, наступного характеру, але не виключно: договорів купівлі-продажу, страхування, міни, всіх видів найму (оренди), лізингу, підряду, надання фінансової допомоги, надання послуг, доручення, комісії, управління майном, договорів позики, кредитних договорів, договорів банківського вкладу або залучення додаткових грошових коштів у національній та/або іноземній валюті, а також договорів, пов’язаних із залученням, отриманням, обслуговуванням, реструктуризацією та/або забезпеченням кредитів (позик) і виконанням зобов’язань за ними, договорі, що здійснюються на виконання постанови Кабінету Міністрів України від 26 листопада 2025 р. № 1520 та відповідно до постанови Кабінету Міністрів України від 26 жовтня 2016 р. № 779 «Деякі питання виконання програм, пов’язаних з підвищенням обороноздатності і безпеки держави», та </w:t>
            </w:r>
            <w:r w:rsidRPr="005809BA">
              <w:rPr>
                <w:rFonts w:eastAsia="Calibri"/>
                <w:sz w:val="22"/>
                <w:szCs w:val="22"/>
                <w:lang w:val="uk-UA"/>
              </w:rPr>
              <w:lastRenderedPageBreak/>
              <w:t>інших значних правочинів та правочинів із заінтересованістю із граничною сукупною вартістю за такими правочинами 250 000 000 000,00 (двісті п’ятдесят  мільярдів) гривень;</w:t>
            </w:r>
          </w:p>
          <w:p w14:paraId="618C4B80" w14:textId="77777777" w:rsidR="005809BA" w:rsidRPr="005809BA" w:rsidRDefault="005809BA" w:rsidP="005809BA">
            <w:pPr>
              <w:tabs>
                <w:tab w:val="num" w:pos="0"/>
              </w:tabs>
              <w:ind w:firstLine="708"/>
              <w:jc w:val="both"/>
              <w:rPr>
                <w:rFonts w:eastAsia="Calibri"/>
                <w:sz w:val="22"/>
                <w:szCs w:val="22"/>
                <w:lang w:val="uk-UA"/>
              </w:rPr>
            </w:pPr>
            <w:r w:rsidRPr="005809BA">
              <w:rPr>
                <w:rFonts w:eastAsia="Calibri"/>
                <w:sz w:val="22"/>
                <w:szCs w:val="22"/>
                <w:lang w:val="uk-UA"/>
              </w:rPr>
              <w:t xml:space="preserve">Надати Наглядовій раді Товариства повноваження без отримання додаткових рішень Загальних зборів акціонерів визначати доцільність та умови значних правочинів та правочинів із заінтересованістю, які можуть вчинятися Товариством протягом не більш як одного року з дати прийняття цього рішення, наступного характеру, але не виключно: договорів купівлі-продажу, страхування, міни, всіх видів найму (оренди), лізингу, підряду, надання фінансової допомоги, надання послуг, доручення, комісії, управління майном, договорів позики, кредитних договорів, договорів банківського вкладу або залучення додаткових грошових коштів у національній та/або іноземній валюті, а також договорів, пов’язаних із залученням, отриманням, обслуговуванням, реструктуризацією та/або забезпеченням кредитів (позик) і виконанням зобов’язань за ними, договорі, що здійснюються на виконання постанови Кабінету Міністрів України від 26 листопада 2025 р. № 1520 та відповідно до постанови Кабінету Міністрів України від 26 жовтня 2016 р. № 779 «Деякі питання виконання програм, пов’язаних з підвищенням обороноздатності і безпеки держави», та інших значних правочинів та правочинів із заінтересованістю із граничною сукупною вартістю за такими правочинами 250 000 000 000,00 (двісті п’ятдесят  мільярдів) гривень; </w:t>
            </w:r>
          </w:p>
          <w:p w14:paraId="69BD0280" w14:textId="5E3947DD" w:rsidR="0098076C" w:rsidRPr="00AF6233" w:rsidRDefault="005809BA" w:rsidP="005809BA">
            <w:pPr>
              <w:tabs>
                <w:tab w:val="num" w:pos="0"/>
              </w:tabs>
              <w:ind w:firstLine="708"/>
              <w:jc w:val="both"/>
              <w:rPr>
                <w:sz w:val="22"/>
                <w:szCs w:val="22"/>
                <w:lang w:val="uk-UA"/>
              </w:rPr>
            </w:pPr>
            <w:r w:rsidRPr="005809BA">
              <w:rPr>
                <w:rFonts w:eastAsia="Calibri"/>
                <w:sz w:val="22"/>
                <w:szCs w:val="22"/>
                <w:lang w:val="uk-UA"/>
              </w:rPr>
              <w:t>Надати право Виконавчому органу Товариства здійснювати всі необхідні дії щодо вчинення від імені Товариства значних правочинів та правочинів із заінтересованістю, які можуть вчинятися Товариством протягом не більш як одного року з дати прийняття цього рішення, наступного характеру, але не виключно: договорів купівлі-продажу, страхування, міни, всіх видів найму (оренди), лізингу, підряду, надання фінансової допомоги, надання послуг, доручення, комісії, управління майном, договорів позики, кредитних договорів, договорів банківського вкладу або залучення додаткових грошових коштів у національній та/або іноземній валюті, а також договорів, пов’язаних із залученням, отриманням, обслуговуванням, реструктуризацією та/або забезпеченням кредитів (позик) і виконанням зобов’язань за ними, договорі, що здійснюються на виконання постанови Кабінету Міністрів України від 26 листопада 2025 р. № 1520 та відповідно до постанови Кабінету Міністрів України від 26 жовтня 2016 р. № 779 «Деякі питання виконання програм, пов’язаних з підвищенням обороноздатності і безпеки держави», та інші значні правочини та правочини із заінтересованістю із граничною сукупною вартістю за такими правочинами 250 000 000 000,00 (двісті п’ятдесят  мільярдів) гривень за умови визначення Наглядовою радою доцільності та умов значних правочинів та правочинів із заінтересованістю.</w:t>
            </w:r>
          </w:p>
        </w:tc>
        <w:tc>
          <w:tcPr>
            <w:tcW w:w="1162" w:type="dxa"/>
            <w:tcBorders>
              <w:top w:val="single" w:sz="4" w:space="0" w:color="auto"/>
              <w:bottom w:val="single" w:sz="4" w:space="0" w:color="auto"/>
            </w:tcBorders>
          </w:tcPr>
          <w:p w14:paraId="1315D35A" w14:textId="77777777" w:rsidR="0098076C" w:rsidRPr="00D2464D" w:rsidRDefault="0098076C" w:rsidP="002854AD">
            <w:pPr>
              <w:rPr>
                <w:sz w:val="22"/>
                <w:szCs w:val="22"/>
                <w:lang w:val="uk-UA"/>
              </w:rPr>
            </w:pPr>
          </w:p>
        </w:tc>
        <w:tc>
          <w:tcPr>
            <w:tcW w:w="1276" w:type="dxa"/>
            <w:tcBorders>
              <w:top w:val="single" w:sz="4" w:space="0" w:color="auto"/>
              <w:bottom w:val="single" w:sz="4" w:space="0" w:color="auto"/>
            </w:tcBorders>
          </w:tcPr>
          <w:p w14:paraId="4759D7EC" w14:textId="77777777" w:rsidR="0098076C" w:rsidRPr="00D2464D" w:rsidRDefault="0098076C" w:rsidP="00342D90">
            <w:pPr>
              <w:jc w:val="both"/>
              <w:rPr>
                <w:sz w:val="22"/>
                <w:szCs w:val="22"/>
                <w:lang w:val="uk-UA"/>
              </w:rPr>
            </w:pPr>
          </w:p>
        </w:tc>
      </w:tr>
      <w:tr w:rsidR="005809BA" w:rsidRPr="00AB2FD8" w14:paraId="5827C3C3" w14:textId="77777777" w:rsidTr="00956B6F">
        <w:trPr>
          <w:trHeight w:val="133"/>
        </w:trPr>
        <w:tc>
          <w:tcPr>
            <w:tcW w:w="1843" w:type="dxa"/>
          </w:tcPr>
          <w:p w14:paraId="5B7AE5F9" w14:textId="77777777" w:rsidR="005809BA" w:rsidRPr="00AB2FD8" w:rsidRDefault="005809BA" w:rsidP="00956B6F">
            <w:pPr>
              <w:ind w:right="-37"/>
              <w:jc w:val="both"/>
              <w:rPr>
                <w:b/>
                <w:sz w:val="22"/>
                <w:szCs w:val="22"/>
                <w:lang w:val="uk-UA"/>
              </w:rPr>
            </w:pPr>
            <w:r w:rsidRPr="00AB2FD8">
              <w:rPr>
                <w:b/>
                <w:sz w:val="22"/>
                <w:szCs w:val="22"/>
                <w:lang w:val="uk-UA"/>
              </w:rPr>
              <w:t>№ питання порядку денного</w:t>
            </w:r>
          </w:p>
        </w:tc>
        <w:tc>
          <w:tcPr>
            <w:tcW w:w="7796" w:type="dxa"/>
            <w:gridSpan w:val="4"/>
          </w:tcPr>
          <w:p w14:paraId="14D55B99" w14:textId="4560D3FC" w:rsidR="005809BA" w:rsidRPr="00AB2FD8" w:rsidRDefault="005809BA" w:rsidP="00956B6F">
            <w:pPr>
              <w:ind w:right="-37"/>
              <w:jc w:val="both"/>
              <w:rPr>
                <w:b/>
                <w:sz w:val="22"/>
                <w:szCs w:val="22"/>
                <w:lang w:val="uk-UA"/>
              </w:rPr>
            </w:pPr>
            <w:r w:rsidRPr="00AB2FD8">
              <w:rPr>
                <w:b/>
                <w:sz w:val="22"/>
                <w:szCs w:val="22"/>
                <w:lang w:val="uk-UA"/>
              </w:rPr>
              <w:t xml:space="preserve">Питання </w:t>
            </w:r>
            <w:r>
              <w:rPr>
                <w:b/>
                <w:sz w:val="22"/>
                <w:szCs w:val="22"/>
                <w:lang w:val="uk-UA"/>
              </w:rPr>
              <w:t>ДРУГЕ</w:t>
            </w:r>
            <w:r w:rsidRPr="00AB2FD8">
              <w:rPr>
                <w:b/>
                <w:sz w:val="22"/>
                <w:szCs w:val="22"/>
                <w:lang w:val="uk-UA"/>
              </w:rPr>
              <w:t xml:space="preserve"> порядку денного, винесене на голосування</w:t>
            </w:r>
          </w:p>
        </w:tc>
      </w:tr>
      <w:tr w:rsidR="005809BA" w:rsidRPr="005809BA" w14:paraId="4442C939" w14:textId="77777777" w:rsidTr="00956B6F">
        <w:trPr>
          <w:trHeight w:val="133"/>
        </w:trPr>
        <w:tc>
          <w:tcPr>
            <w:tcW w:w="1843" w:type="dxa"/>
            <w:tcBorders>
              <w:bottom w:val="single" w:sz="4" w:space="0" w:color="auto"/>
            </w:tcBorders>
          </w:tcPr>
          <w:p w14:paraId="088DFF1D" w14:textId="61E13867" w:rsidR="005809BA" w:rsidRPr="005809BA" w:rsidRDefault="005809BA" w:rsidP="00956B6F">
            <w:pPr>
              <w:ind w:right="-37"/>
              <w:jc w:val="center"/>
              <w:rPr>
                <w:b/>
                <w:sz w:val="22"/>
                <w:szCs w:val="22"/>
                <w:lang w:val="uk-UA"/>
              </w:rPr>
            </w:pPr>
            <w:r>
              <w:rPr>
                <w:b/>
                <w:sz w:val="22"/>
                <w:szCs w:val="22"/>
                <w:lang w:val="uk-UA"/>
              </w:rPr>
              <w:t>2</w:t>
            </w:r>
          </w:p>
        </w:tc>
        <w:tc>
          <w:tcPr>
            <w:tcW w:w="7796" w:type="dxa"/>
            <w:gridSpan w:val="4"/>
            <w:tcBorders>
              <w:bottom w:val="single" w:sz="4" w:space="0" w:color="auto"/>
            </w:tcBorders>
          </w:tcPr>
          <w:p w14:paraId="4A80A4E5" w14:textId="70084D63" w:rsidR="005809BA" w:rsidRPr="00713C58" w:rsidRDefault="005809BA" w:rsidP="00956B6F">
            <w:pPr>
              <w:contextualSpacing/>
              <w:jc w:val="both"/>
              <w:rPr>
                <w:b/>
                <w:sz w:val="20"/>
                <w:szCs w:val="20"/>
                <w:lang w:val="uk-UA"/>
              </w:rPr>
            </w:pPr>
            <w:r w:rsidRPr="005809BA">
              <w:rPr>
                <w:rFonts w:eastAsia="Calibri"/>
                <w:b/>
                <w:iCs/>
                <w:color w:val="000000"/>
                <w:sz w:val="22"/>
                <w:szCs w:val="22"/>
                <w:lang w:val="uk-UA"/>
              </w:rPr>
              <w:t>Прийняття рішення про виплату дивідендів, затвердження розміру дивідендів та способу їх виплати</w:t>
            </w:r>
          </w:p>
        </w:tc>
      </w:tr>
      <w:tr w:rsidR="005809BA" w:rsidRPr="00AB2FD8" w14:paraId="6020E669" w14:textId="77777777" w:rsidTr="00956B6F">
        <w:trPr>
          <w:gridAfter w:val="1"/>
          <w:wAfter w:w="113" w:type="dxa"/>
          <w:trHeight w:val="133"/>
        </w:trPr>
        <w:tc>
          <w:tcPr>
            <w:tcW w:w="7088" w:type="dxa"/>
            <w:gridSpan w:val="2"/>
            <w:tcBorders>
              <w:top w:val="single" w:sz="4" w:space="0" w:color="auto"/>
              <w:bottom w:val="single" w:sz="4" w:space="0" w:color="auto"/>
            </w:tcBorders>
          </w:tcPr>
          <w:p w14:paraId="512E55FD" w14:textId="77777777" w:rsidR="005809BA" w:rsidRPr="00AB2FD8" w:rsidRDefault="005809BA" w:rsidP="00956B6F">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9A5B348" w14:textId="77777777" w:rsidR="005809BA" w:rsidRPr="00AB2FD8" w:rsidRDefault="005809BA" w:rsidP="00956B6F">
            <w:pPr>
              <w:ind w:right="-37"/>
              <w:jc w:val="both"/>
              <w:rPr>
                <w:sz w:val="22"/>
                <w:szCs w:val="22"/>
                <w:lang w:val="uk-UA"/>
              </w:rPr>
            </w:pPr>
            <w:r w:rsidRPr="00AB2FD8">
              <w:rPr>
                <w:sz w:val="22"/>
                <w:szCs w:val="22"/>
                <w:lang w:val="uk-UA"/>
              </w:rPr>
              <w:t>За</w:t>
            </w:r>
          </w:p>
        </w:tc>
        <w:tc>
          <w:tcPr>
            <w:tcW w:w="1276" w:type="dxa"/>
            <w:tcBorders>
              <w:top w:val="single" w:sz="4" w:space="0" w:color="auto"/>
              <w:bottom w:val="single" w:sz="4" w:space="0" w:color="auto"/>
            </w:tcBorders>
            <w:shd w:val="clear" w:color="auto" w:fill="E7E6E6" w:themeFill="background2"/>
          </w:tcPr>
          <w:p w14:paraId="64DBD255" w14:textId="77777777" w:rsidR="005809BA" w:rsidRPr="00AB2FD8" w:rsidRDefault="005809BA" w:rsidP="00956B6F">
            <w:pPr>
              <w:ind w:right="-37"/>
              <w:jc w:val="center"/>
              <w:rPr>
                <w:sz w:val="22"/>
                <w:szCs w:val="22"/>
                <w:lang w:val="uk-UA"/>
              </w:rPr>
            </w:pPr>
            <w:r w:rsidRPr="00AB2FD8">
              <w:rPr>
                <w:sz w:val="22"/>
                <w:szCs w:val="22"/>
                <w:lang w:val="uk-UA"/>
              </w:rPr>
              <w:t>Проти</w:t>
            </w:r>
          </w:p>
        </w:tc>
      </w:tr>
      <w:tr w:rsidR="005809BA" w:rsidRPr="005809BA" w14:paraId="7EA2C91D" w14:textId="77777777" w:rsidTr="00956B6F">
        <w:trPr>
          <w:gridAfter w:val="1"/>
          <w:wAfter w:w="113" w:type="dxa"/>
          <w:trHeight w:val="133"/>
        </w:trPr>
        <w:tc>
          <w:tcPr>
            <w:tcW w:w="7088" w:type="dxa"/>
            <w:gridSpan w:val="2"/>
            <w:tcBorders>
              <w:top w:val="single" w:sz="4" w:space="0" w:color="auto"/>
              <w:bottom w:val="single" w:sz="4" w:space="0" w:color="auto"/>
            </w:tcBorders>
          </w:tcPr>
          <w:p w14:paraId="69343AAF" w14:textId="77777777" w:rsidR="005809BA" w:rsidRPr="00D2464D" w:rsidRDefault="005809BA" w:rsidP="00956B6F">
            <w:pPr>
              <w:jc w:val="both"/>
              <w:rPr>
                <w:sz w:val="22"/>
                <w:szCs w:val="22"/>
                <w:u w:val="single"/>
              </w:rPr>
            </w:pPr>
            <w:r w:rsidRPr="00D2464D">
              <w:rPr>
                <w:sz w:val="22"/>
                <w:szCs w:val="22"/>
                <w:u w:val="single"/>
                <w:lang w:val="uk-UA"/>
              </w:rPr>
              <w:t>Проект рішення:</w:t>
            </w:r>
          </w:p>
          <w:p w14:paraId="37260ACE" w14:textId="77777777" w:rsidR="000F2CC2" w:rsidRPr="000F2CC2" w:rsidRDefault="000F2CC2" w:rsidP="000F2CC2">
            <w:pPr>
              <w:tabs>
                <w:tab w:val="num" w:pos="0"/>
              </w:tabs>
              <w:ind w:firstLine="708"/>
              <w:jc w:val="both"/>
              <w:rPr>
                <w:rFonts w:eastAsia="Calibri"/>
                <w:sz w:val="22"/>
                <w:szCs w:val="22"/>
                <w:lang w:val="uk-UA"/>
              </w:rPr>
            </w:pPr>
            <w:r w:rsidRPr="000F2CC2">
              <w:rPr>
                <w:rFonts w:eastAsia="Calibri"/>
                <w:sz w:val="22"/>
                <w:szCs w:val="22"/>
                <w:lang w:val="uk-UA"/>
              </w:rPr>
              <w:lastRenderedPageBreak/>
              <w:t xml:space="preserve">1. Чистий підтверджений нерозподілений прибуток за 2024 рік становить 620132674 грн. (шістсот двадцять мільйонів сто тридцять дві тисячі шістсот сімдесят чотири гривні 00 коп.). </w:t>
            </w:r>
          </w:p>
          <w:p w14:paraId="49795CB3" w14:textId="77777777" w:rsidR="000F2CC2" w:rsidRPr="000F2CC2" w:rsidRDefault="000F2CC2" w:rsidP="000F2CC2">
            <w:pPr>
              <w:tabs>
                <w:tab w:val="num" w:pos="0"/>
              </w:tabs>
              <w:ind w:firstLine="708"/>
              <w:jc w:val="both"/>
              <w:rPr>
                <w:rFonts w:eastAsia="Calibri"/>
                <w:sz w:val="22"/>
                <w:szCs w:val="22"/>
                <w:lang w:val="uk-UA"/>
              </w:rPr>
            </w:pPr>
            <w:r w:rsidRPr="000F2CC2">
              <w:rPr>
                <w:rFonts w:eastAsia="Calibri"/>
                <w:sz w:val="22"/>
                <w:szCs w:val="22"/>
                <w:lang w:val="uk-UA"/>
              </w:rPr>
              <w:t>2. Затвердити наступний порядок розподілу чистого прибутку Товариства за 2024 рік:</w:t>
            </w:r>
          </w:p>
          <w:p w14:paraId="4FE60D07" w14:textId="77777777" w:rsidR="000F2CC2" w:rsidRPr="000F2CC2" w:rsidRDefault="000F2CC2" w:rsidP="000F2CC2">
            <w:pPr>
              <w:tabs>
                <w:tab w:val="num" w:pos="0"/>
              </w:tabs>
              <w:ind w:firstLine="708"/>
              <w:jc w:val="both"/>
              <w:rPr>
                <w:rFonts w:eastAsia="Calibri"/>
                <w:sz w:val="22"/>
                <w:szCs w:val="22"/>
                <w:lang w:val="uk-UA"/>
              </w:rPr>
            </w:pPr>
            <w:r w:rsidRPr="000F2CC2">
              <w:rPr>
                <w:rFonts w:eastAsia="Calibri"/>
                <w:sz w:val="22"/>
                <w:szCs w:val="22"/>
                <w:lang w:val="uk-UA"/>
              </w:rPr>
              <w:t>2.1. Спрямувати частину прибутку Товариства за 2024 рік у розмірі 12 495 000,00 грн (дванадцять мільйонів чотириста дев’яносто п’ять тисяч гривень 00 коп) на формування Резервного капіталу Товариства, розмір якого складає 25% від статутного капіталу Товариства..</w:t>
            </w:r>
          </w:p>
          <w:p w14:paraId="478EA2C1" w14:textId="77777777" w:rsidR="000F2CC2" w:rsidRPr="000F2CC2" w:rsidRDefault="000F2CC2" w:rsidP="000F2CC2">
            <w:pPr>
              <w:tabs>
                <w:tab w:val="num" w:pos="0"/>
              </w:tabs>
              <w:ind w:firstLine="708"/>
              <w:jc w:val="both"/>
              <w:rPr>
                <w:rFonts w:eastAsia="Calibri"/>
                <w:sz w:val="22"/>
                <w:szCs w:val="22"/>
                <w:lang w:val="uk-UA"/>
              </w:rPr>
            </w:pPr>
            <w:r w:rsidRPr="000F2CC2">
              <w:rPr>
                <w:rFonts w:eastAsia="Calibri"/>
                <w:sz w:val="22"/>
                <w:szCs w:val="22"/>
                <w:lang w:val="uk-UA"/>
              </w:rPr>
              <w:t>2.2.Частину прибутку Товариства за 2024 рік у розмірі 342 720 000,00 гривень (триста сорок два мільйони сімсот двадцять тисяч гривень 00 коп.) направити у повному обсязі на виплату дивідендів власникам простих іменних акцій у розрахунку 2,40 грн. (дві гривні 40 коп.) на одну акцію.</w:t>
            </w:r>
          </w:p>
          <w:p w14:paraId="46069E74" w14:textId="77777777" w:rsidR="000F2CC2" w:rsidRPr="000F2CC2" w:rsidRDefault="000F2CC2" w:rsidP="000F2CC2">
            <w:pPr>
              <w:tabs>
                <w:tab w:val="num" w:pos="0"/>
              </w:tabs>
              <w:ind w:firstLine="708"/>
              <w:jc w:val="both"/>
              <w:rPr>
                <w:rFonts w:eastAsia="Calibri"/>
                <w:sz w:val="22"/>
                <w:szCs w:val="22"/>
                <w:lang w:val="uk-UA"/>
              </w:rPr>
            </w:pPr>
            <w:r w:rsidRPr="000F2CC2">
              <w:rPr>
                <w:rFonts w:eastAsia="Calibri"/>
                <w:sz w:val="22"/>
                <w:szCs w:val="22"/>
                <w:lang w:val="uk-UA"/>
              </w:rPr>
              <w:t xml:space="preserve">2.3. Частину прибутку Товариства за 2024 рік у розмірі 264 917 674 грн. (двісті шістдесят чотири тисячі дев’ятсот сімнадцять тисяч шістсот сімдесят чотири гривні 00 коп.) залишити нерозподіленим. </w:t>
            </w:r>
          </w:p>
          <w:p w14:paraId="06F9A7E7" w14:textId="77777777" w:rsidR="000F2CC2" w:rsidRPr="000F2CC2" w:rsidRDefault="000F2CC2" w:rsidP="000F2CC2">
            <w:pPr>
              <w:tabs>
                <w:tab w:val="num" w:pos="0"/>
              </w:tabs>
              <w:ind w:firstLine="708"/>
              <w:jc w:val="both"/>
              <w:rPr>
                <w:rFonts w:eastAsia="Calibri"/>
                <w:sz w:val="22"/>
                <w:szCs w:val="22"/>
                <w:lang w:val="uk-UA"/>
              </w:rPr>
            </w:pPr>
            <w:r w:rsidRPr="000F2CC2">
              <w:rPr>
                <w:rFonts w:eastAsia="Calibri"/>
                <w:sz w:val="22"/>
                <w:szCs w:val="22"/>
                <w:lang w:val="uk-UA"/>
              </w:rPr>
              <w:t>3. Визначити, що виплата дивідендів здійснюватиметься у повному обсязі через депозитарну систему України у встановленому чинним законодавством України порядку, протягом шести місяців з дня прийняття Загальними зборами акціонерів рішення про виплату дивідендів.</w:t>
            </w:r>
          </w:p>
          <w:p w14:paraId="4A073D85" w14:textId="77777777" w:rsidR="000F2CC2" w:rsidRDefault="000F2CC2" w:rsidP="000F2CC2">
            <w:pPr>
              <w:tabs>
                <w:tab w:val="num" w:pos="0"/>
              </w:tabs>
              <w:ind w:firstLine="708"/>
              <w:jc w:val="both"/>
              <w:rPr>
                <w:rFonts w:eastAsia="Calibri"/>
                <w:sz w:val="22"/>
                <w:szCs w:val="22"/>
                <w:lang w:val="uk-UA"/>
              </w:rPr>
            </w:pPr>
            <w:r w:rsidRPr="000F2CC2">
              <w:rPr>
                <w:rFonts w:eastAsia="Calibri"/>
                <w:sz w:val="22"/>
                <w:szCs w:val="22"/>
                <w:lang w:val="uk-UA"/>
              </w:rPr>
              <w:t>4. Уповноважити Наглядову раду Товариства визначати дату складення переліку осіб, які мають право на отримання дивідендів за простими акціями Товариства, визначати порядок виплати дивідендів, визначати порядок повідомлення осіб, які мають право на отримання дивідендів, про дату, розмір, порядок та строк їх виплати, а також вживати інші заходи на виконання прийнятого рішення про виплату дивідендів.</w:t>
            </w:r>
          </w:p>
          <w:p w14:paraId="549E15F5" w14:textId="77777777" w:rsidR="005809BA" w:rsidRDefault="005809BA" w:rsidP="000F2CC2">
            <w:pPr>
              <w:tabs>
                <w:tab w:val="num" w:pos="0"/>
              </w:tabs>
              <w:ind w:firstLine="708"/>
              <w:jc w:val="both"/>
              <w:rPr>
                <w:rFonts w:eastAsia="Calibri"/>
                <w:sz w:val="22"/>
                <w:szCs w:val="22"/>
                <w:lang w:val="uk-UA"/>
              </w:rPr>
            </w:pPr>
          </w:p>
          <w:p w14:paraId="0055BCF7" w14:textId="5093E3FC" w:rsidR="000F2CC2" w:rsidRPr="00AF6233" w:rsidRDefault="000F2CC2" w:rsidP="000F2CC2">
            <w:pPr>
              <w:tabs>
                <w:tab w:val="num" w:pos="0"/>
              </w:tabs>
              <w:ind w:firstLine="708"/>
              <w:jc w:val="both"/>
              <w:rPr>
                <w:sz w:val="22"/>
                <w:szCs w:val="22"/>
                <w:lang w:val="uk-UA"/>
              </w:rPr>
            </w:pPr>
          </w:p>
        </w:tc>
        <w:tc>
          <w:tcPr>
            <w:tcW w:w="1162" w:type="dxa"/>
            <w:tcBorders>
              <w:top w:val="single" w:sz="4" w:space="0" w:color="auto"/>
              <w:bottom w:val="single" w:sz="4" w:space="0" w:color="auto"/>
            </w:tcBorders>
          </w:tcPr>
          <w:p w14:paraId="743EFC3C" w14:textId="77777777" w:rsidR="005809BA" w:rsidRPr="00D2464D" w:rsidRDefault="005809BA" w:rsidP="00956B6F">
            <w:pPr>
              <w:rPr>
                <w:sz w:val="22"/>
                <w:szCs w:val="22"/>
                <w:lang w:val="uk-UA"/>
              </w:rPr>
            </w:pPr>
          </w:p>
        </w:tc>
        <w:tc>
          <w:tcPr>
            <w:tcW w:w="1276" w:type="dxa"/>
            <w:tcBorders>
              <w:top w:val="single" w:sz="4" w:space="0" w:color="auto"/>
              <w:bottom w:val="single" w:sz="4" w:space="0" w:color="auto"/>
            </w:tcBorders>
          </w:tcPr>
          <w:p w14:paraId="2F5F85F5" w14:textId="77777777" w:rsidR="005809BA" w:rsidRPr="00D2464D" w:rsidRDefault="005809BA" w:rsidP="00956B6F">
            <w:pPr>
              <w:jc w:val="both"/>
              <w:rPr>
                <w:sz w:val="22"/>
                <w:szCs w:val="22"/>
                <w:lang w:val="uk-UA"/>
              </w:rPr>
            </w:pPr>
          </w:p>
        </w:tc>
      </w:tr>
      <w:tr w:rsidR="005809BA" w:rsidRPr="005809BA" w14:paraId="3C7B0032" w14:textId="77777777" w:rsidTr="003458DC">
        <w:trPr>
          <w:gridAfter w:val="1"/>
          <w:wAfter w:w="113" w:type="dxa"/>
          <w:trHeight w:val="133"/>
        </w:trPr>
        <w:tc>
          <w:tcPr>
            <w:tcW w:w="7088" w:type="dxa"/>
            <w:gridSpan w:val="2"/>
            <w:tcBorders>
              <w:top w:val="single" w:sz="4" w:space="0" w:color="auto"/>
              <w:bottom w:val="single" w:sz="4" w:space="0" w:color="auto"/>
            </w:tcBorders>
          </w:tcPr>
          <w:p w14:paraId="6A9E3772" w14:textId="77777777" w:rsidR="005809BA" w:rsidRPr="00D2464D" w:rsidRDefault="005809BA" w:rsidP="00342D90">
            <w:pPr>
              <w:jc w:val="both"/>
              <w:rPr>
                <w:sz w:val="22"/>
                <w:szCs w:val="22"/>
                <w:u w:val="single"/>
                <w:lang w:val="uk-UA"/>
              </w:rPr>
            </w:pPr>
          </w:p>
        </w:tc>
        <w:tc>
          <w:tcPr>
            <w:tcW w:w="1162" w:type="dxa"/>
            <w:tcBorders>
              <w:top w:val="single" w:sz="4" w:space="0" w:color="auto"/>
              <w:bottom w:val="single" w:sz="4" w:space="0" w:color="auto"/>
            </w:tcBorders>
          </w:tcPr>
          <w:p w14:paraId="52C1F198" w14:textId="77777777" w:rsidR="005809BA" w:rsidRPr="00D2464D" w:rsidRDefault="005809BA" w:rsidP="002854AD">
            <w:pPr>
              <w:rPr>
                <w:sz w:val="22"/>
                <w:szCs w:val="22"/>
                <w:lang w:val="uk-UA"/>
              </w:rPr>
            </w:pPr>
          </w:p>
        </w:tc>
        <w:tc>
          <w:tcPr>
            <w:tcW w:w="1276" w:type="dxa"/>
            <w:tcBorders>
              <w:top w:val="single" w:sz="4" w:space="0" w:color="auto"/>
              <w:bottom w:val="single" w:sz="4" w:space="0" w:color="auto"/>
            </w:tcBorders>
          </w:tcPr>
          <w:p w14:paraId="755E449C" w14:textId="77777777" w:rsidR="005809BA" w:rsidRPr="00D2464D" w:rsidRDefault="005809BA" w:rsidP="00342D90">
            <w:pPr>
              <w:jc w:val="both"/>
              <w:rPr>
                <w:sz w:val="22"/>
                <w:szCs w:val="22"/>
                <w:lang w:val="uk-UA"/>
              </w:rPr>
            </w:pPr>
          </w:p>
        </w:tc>
      </w:tr>
    </w:tbl>
    <w:p w14:paraId="74BEE19E" w14:textId="77777777" w:rsidR="00E4040D" w:rsidRPr="00AB2FD8" w:rsidRDefault="00E4040D" w:rsidP="00E4040D">
      <w:pPr>
        <w:tabs>
          <w:tab w:val="right" w:pos="10242"/>
        </w:tabs>
        <w:ind w:right="-37"/>
        <w:jc w:val="both"/>
        <w:rPr>
          <w:b/>
          <w:i/>
          <w:sz w:val="22"/>
          <w:szCs w:val="22"/>
          <w:lang w:val="uk-UA"/>
        </w:rPr>
      </w:pPr>
      <w:r w:rsidRPr="003E5476">
        <w:rPr>
          <w:b/>
          <w:i/>
          <w:lang w:val="uk-UA"/>
        </w:rPr>
        <w:t xml:space="preserve"> </w:t>
      </w:r>
      <w:r w:rsidR="00C46BDF" w:rsidRPr="00AB2FD8">
        <w:rPr>
          <w:b/>
          <w:i/>
          <w:sz w:val="22"/>
          <w:szCs w:val="22"/>
          <w:lang w:val="uk-UA"/>
        </w:rPr>
        <w:t>ВАЖЛИВО</w:t>
      </w:r>
      <w:r w:rsidRPr="00AB2FD8">
        <w:rPr>
          <w:b/>
          <w:i/>
          <w:sz w:val="22"/>
          <w:szCs w:val="22"/>
          <w:lang w:val="uk-UA"/>
        </w:rPr>
        <w:t>!</w:t>
      </w:r>
      <w:r w:rsidRPr="00AB2FD8">
        <w:rPr>
          <w:b/>
          <w:i/>
          <w:sz w:val="22"/>
          <w:szCs w:val="22"/>
          <w:lang w:val="uk-UA"/>
        </w:rPr>
        <w:tab/>
      </w:r>
    </w:p>
    <w:p w14:paraId="59E25B2A" w14:textId="05AB9D10" w:rsidR="008333A9" w:rsidRPr="00AB2FD8" w:rsidRDefault="00E4040D" w:rsidP="00A94E11">
      <w:pPr>
        <w:ind w:right="-37" w:firstLine="708"/>
        <w:jc w:val="both"/>
        <w:rPr>
          <w:sz w:val="22"/>
          <w:szCs w:val="22"/>
          <w:lang w:val="uk-UA"/>
        </w:rPr>
      </w:pPr>
      <w:r w:rsidRPr="00AB2FD8">
        <w:rPr>
          <w:i/>
          <w:sz w:val="22"/>
          <w:szCs w:val="22"/>
          <w:lang w:val="uk-UA"/>
        </w:rPr>
        <w:t xml:space="preserve">Бюлетень має бути підписаний </w:t>
      </w:r>
      <w:r w:rsidR="000C60A7">
        <w:rPr>
          <w:i/>
          <w:sz w:val="22"/>
          <w:szCs w:val="22"/>
          <w:lang w:val="uk-UA"/>
        </w:rPr>
        <w:t>акціонером</w:t>
      </w:r>
      <w:r w:rsidRPr="00AB2FD8">
        <w:rPr>
          <w:i/>
          <w:sz w:val="22"/>
          <w:szCs w:val="22"/>
          <w:lang w:val="uk-UA"/>
        </w:rPr>
        <w:t xml:space="preserve"> (</w:t>
      </w:r>
      <w:r w:rsidR="00C46BDF" w:rsidRPr="00AB2FD8">
        <w:rPr>
          <w:i/>
          <w:sz w:val="22"/>
          <w:szCs w:val="22"/>
          <w:lang w:val="uk-UA"/>
        </w:rPr>
        <w:t xml:space="preserve"> або його </w:t>
      </w:r>
      <w:r w:rsidRPr="00AB2FD8">
        <w:rPr>
          <w:i/>
          <w:sz w:val="22"/>
          <w:szCs w:val="22"/>
          <w:lang w:val="uk-UA"/>
        </w:rPr>
        <w:t xml:space="preserve">представником) із зазначенням прізвища, імені та по батькові </w:t>
      </w:r>
      <w:r w:rsidR="00C46BDF" w:rsidRPr="00AB2FD8">
        <w:rPr>
          <w:i/>
          <w:sz w:val="22"/>
          <w:szCs w:val="22"/>
          <w:lang w:val="uk-UA"/>
        </w:rPr>
        <w:t xml:space="preserve">такого </w:t>
      </w:r>
      <w:r w:rsidR="000C60A7">
        <w:rPr>
          <w:i/>
          <w:sz w:val="22"/>
          <w:szCs w:val="22"/>
          <w:lang w:val="uk-UA"/>
        </w:rPr>
        <w:t>акціонера</w:t>
      </w:r>
      <w:r w:rsidRPr="00AB2FD8">
        <w:rPr>
          <w:i/>
          <w:sz w:val="22"/>
          <w:szCs w:val="22"/>
          <w:lang w:val="uk-UA"/>
        </w:rPr>
        <w:t xml:space="preserve"> (</w:t>
      </w:r>
      <w:bookmarkStart w:id="0" w:name="_GoBack"/>
      <w:bookmarkEnd w:id="0"/>
      <w:r w:rsidR="00C46BDF" w:rsidRPr="00AB2FD8">
        <w:rPr>
          <w:i/>
          <w:sz w:val="22"/>
          <w:szCs w:val="22"/>
          <w:lang w:val="uk-UA"/>
        </w:rPr>
        <w:t xml:space="preserve">його </w:t>
      </w:r>
      <w:r w:rsidRPr="00AB2FD8">
        <w:rPr>
          <w:i/>
          <w:sz w:val="22"/>
          <w:szCs w:val="22"/>
          <w:lang w:val="uk-UA"/>
        </w:rPr>
        <w:t>представника</w:t>
      </w:r>
      <w:r w:rsidR="00C46BDF" w:rsidRPr="00AB2FD8">
        <w:rPr>
          <w:i/>
          <w:sz w:val="22"/>
          <w:szCs w:val="22"/>
          <w:lang w:val="uk-UA"/>
        </w:rPr>
        <w:t>)</w:t>
      </w:r>
      <w:r w:rsidRPr="00AB2FD8">
        <w:rPr>
          <w:i/>
          <w:sz w:val="22"/>
          <w:szCs w:val="22"/>
          <w:lang w:val="uk-UA"/>
        </w:rPr>
        <w:t xml:space="preserve"> або найменування юридичної особи. За відсутності таких реквізитів і підпису бюлетень вважається недійсним.</w:t>
      </w:r>
    </w:p>
    <w:sectPr w:rsidR="008333A9" w:rsidRPr="00AB2FD8" w:rsidSect="00AC5C61">
      <w:headerReference w:type="default" r:id="rId8"/>
      <w:footerReference w:type="default" r:id="rId9"/>
      <w:pgSz w:w="11906" w:h="16838"/>
      <w:pgMar w:top="709" w:right="849"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23460" w14:textId="77777777" w:rsidR="00713C58" w:rsidRDefault="00713C58" w:rsidP="00A94E11">
      <w:r>
        <w:separator/>
      </w:r>
    </w:p>
  </w:endnote>
  <w:endnote w:type="continuationSeparator" w:id="0">
    <w:p w14:paraId="653A81D8" w14:textId="77777777" w:rsidR="00713C58" w:rsidRDefault="00713C58" w:rsidP="00A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BF7C" w14:textId="2DFFF8E6" w:rsidR="00713C58" w:rsidRPr="003E5476" w:rsidRDefault="00713C58" w:rsidP="00A94E11">
    <w:pPr>
      <w:widowControl w:val="0"/>
      <w:tabs>
        <w:tab w:val="left" w:pos="226"/>
      </w:tabs>
      <w:autoSpaceDE w:val="0"/>
      <w:autoSpaceDN w:val="0"/>
      <w:adjustRightInd w:val="0"/>
      <w:ind w:firstLine="709"/>
      <w:jc w:val="both"/>
      <w:rPr>
        <w:sz w:val="18"/>
        <w:szCs w:val="18"/>
        <w:lang w:val="uk-UA"/>
      </w:rPr>
    </w:pPr>
    <w:r w:rsidRPr="003E5476">
      <w:rPr>
        <w:b/>
        <w:bCs/>
        <w:i/>
        <w:color w:val="000000"/>
        <w:sz w:val="18"/>
        <w:szCs w:val="18"/>
        <w:lang w:val="uk-UA"/>
      </w:rPr>
      <w:t xml:space="preserve">Кожен аркуш бюлетеня повинен бути підписаний </w:t>
    </w:r>
    <w:r w:rsidR="000C60A7">
      <w:rPr>
        <w:b/>
        <w:bCs/>
        <w:i/>
        <w:color w:val="000000"/>
        <w:sz w:val="18"/>
        <w:szCs w:val="18"/>
        <w:lang w:val="uk-UA"/>
      </w:rPr>
      <w:t>акціонером</w:t>
    </w:r>
    <w:r w:rsidRPr="003E5476">
      <w:rPr>
        <w:b/>
        <w:bCs/>
        <w:i/>
        <w:color w:val="000000"/>
        <w:sz w:val="18"/>
        <w:szCs w:val="18"/>
        <w:lang w:val="uk-UA"/>
      </w:rPr>
      <w:t xml:space="preserve"> (</w:t>
    </w:r>
    <w:r>
      <w:rPr>
        <w:b/>
        <w:bCs/>
        <w:i/>
        <w:color w:val="000000"/>
        <w:sz w:val="18"/>
        <w:szCs w:val="18"/>
        <w:lang w:val="uk-UA"/>
      </w:rPr>
      <w:t xml:space="preserve">або </w:t>
    </w:r>
    <w:r w:rsidRPr="003E5476">
      <w:rPr>
        <w:b/>
        <w:bCs/>
        <w:i/>
        <w:color w:val="000000"/>
        <w:sz w:val="18"/>
        <w:szCs w:val="18"/>
        <w:lang w:val="uk-UA"/>
      </w:rPr>
      <w:t>його представником) (</w:t>
    </w:r>
    <w:r w:rsidRPr="003E5476">
      <w:rPr>
        <w:b/>
        <w:bCs/>
        <w:i/>
        <w:color w:val="000000"/>
        <w:sz w:val="18"/>
        <w:szCs w:val="18"/>
        <w:u w:val="single"/>
        <w:lang w:val="uk-UA"/>
      </w:rPr>
      <w:t xml:space="preserve">крім випадку засвідчення бюлетеня кваліфікованим електронним підписом </w:t>
    </w:r>
    <w:r w:rsidR="000C60A7">
      <w:rPr>
        <w:b/>
        <w:bCs/>
        <w:i/>
        <w:color w:val="000000"/>
        <w:sz w:val="18"/>
        <w:szCs w:val="18"/>
        <w:u w:val="single"/>
        <w:lang w:val="uk-UA"/>
      </w:rPr>
      <w:t>акціонера</w:t>
    </w:r>
    <w:r w:rsidRPr="003E5476">
      <w:rPr>
        <w:b/>
        <w:bCs/>
        <w:i/>
        <w:color w:val="000000"/>
        <w:sz w:val="18"/>
        <w:szCs w:val="18"/>
        <w:u w:val="single"/>
        <w:lang w:val="uk-UA"/>
      </w:rPr>
      <w:t xml:space="preserve"> (</w:t>
    </w:r>
    <w:r>
      <w:rPr>
        <w:b/>
        <w:bCs/>
        <w:i/>
        <w:color w:val="000000"/>
        <w:sz w:val="18"/>
        <w:szCs w:val="18"/>
        <w:u w:val="single"/>
        <w:lang w:val="uk-UA"/>
      </w:rPr>
      <w:t xml:space="preserve">або </w:t>
    </w:r>
    <w:r w:rsidRPr="003E5476">
      <w:rPr>
        <w:b/>
        <w:bCs/>
        <w:i/>
        <w:color w:val="000000"/>
        <w:sz w:val="18"/>
        <w:szCs w:val="18"/>
        <w:u w:val="single"/>
        <w:lang w:val="uk-UA"/>
      </w:rPr>
      <w:t>його представника</w:t>
    </w:r>
    <w:r w:rsidRPr="003E5476">
      <w:rPr>
        <w:b/>
        <w:bCs/>
        <w:i/>
        <w:color w:val="000000"/>
        <w:sz w:val="18"/>
        <w:szCs w:val="18"/>
        <w:lang w:val="uk-UA"/>
      </w:rPr>
      <w:t>)</w:t>
    </w:r>
    <w:r w:rsidRPr="003E5476">
      <w:rPr>
        <w:bCs/>
        <w:i/>
        <w:color w:val="000000"/>
        <w:sz w:val="18"/>
        <w:szCs w:val="18"/>
        <w:lang w:val="uk-UA"/>
      </w:rPr>
      <w:t>.</w:t>
    </w:r>
  </w:p>
  <w:p w14:paraId="3304E6A4" w14:textId="77777777" w:rsidR="00713C58" w:rsidRPr="0097782B" w:rsidRDefault="00713C58" w:rsidP="00A94E11">
    <w:pPr>
      <w:ind w:right="-37" w:firstLine="708"/>
      <w:jc w:val="both"/>
      <w:rPr>
        <w:i/>
        <w:sz w:val="18"/>
        <w:szCs w:val="18"/>
        <w:lang w:val="uk-UA"/>
      </w:rPr>
    </w:pPr>
  </w:p>
  <w:p w14:paraId="5E10FF50" w14:textId="77777777" w:rsidR="00713C58" w:rsidRDefault="00713C58" w:rsidP="00A94E11">
    <w:pPr>
      <w:ind w:right="-37" w:firstLine="708"/>
      <w:jc w:val="both"/>
      <w:rPr>
        <w:sz w:val="22"/>
        <w:szCs w:val="22"/>
        <w:lang w:val="uk-UA"/>
      </w:rPr>
    </w:pPr>
  </w:p>
  <w:p w14:paraId="4D1F82D1" w14:textId="77777777" w:rsidR="00713C58" w:rsidRDefault="00713C58" w:rsidP="00A94E11">
    <w:pPr>
      <w:widowControl w:val="0"/>
      <w:autoSpaceDE w:val="0"/>
      <w:autoSpaceDN w:val="0"/>
      <w:adjustRightInd w:val="0"/>
      <w:jc w:val="right"/>
      <w:rPr>
        <w:sz w:val="22"/>
        <w:szCs w:val="22"/>
        <w:lang w:val="uk-UA"/>
      </w:rPr>
    </w:pPr>
    <w:r w:rsidRPr="003C6419">
      <w:rPr>
        <w:sz w:val="22"/>
        <w:szCs w:val="22"/>
        <w:lang w:val="uk-UA"/>
      </w:rPr>
      <w:t>__________________</w:t>
    </w:r>
    <w:r>
      <w:rPr>
        <w:sz w:val="22"/>
        <w:szCs w:val="22"/>
        <w:lang w:val="uk-UA"/>
      </w:rPr>
      <w:t>__________________________</w:t>
    </w:r>
    <w:r w:rsidRPr="003C6419">
      <w:rPr>
        <w:sz w:val="22"/>
        <w:szCs w:val="22"/>
        <w:lang w:val="uk-UA"/>
      </w:rPr>
      <w:t xml:space="preserve">________________ </w:t>
    </w:r>
  </w:p>
  <w:p w14:paraId="4CEA7533" w14:textId="357CCDE8" w:rsidR="00713C58" w:rsidRDefault="00713C58" w:rsidP="00A94E11">
    <w:pPr>
      <w:widowControl w:val="0"/>
      <w:autoSpaceDE w:val="0"/>
      <w:autoSpaceDN w:val="0"/>
      <w:adjustRightInd w:val="0"/>
      <w:jc w:val="right"/>
      <w:rPr>
        <w:i/>
        <w:sz w:val="18"/>
        <w:szCs w:val="18"/>
        <w:lang w:val="uk-UA"/>
      </w:rPr>
    </w:pPr>
    <w:r>
      <w:rPr>
        <w:i/>
        <w:sz w:val="18"/>
        <w:szCs w:val="18"/>
        <w:lang w:val="uk-UA"/>
      </w:rPr>
      <w:t xml:space="preserve">Підпис </w:t>
    </w:r>
    <w:r w:rsidR="000C60A7">
      <w:rPr>
        <w:i/>
        <w:sz w:val="18"/>
        <w:szCs w:val="18"/>
        <w:lang w:val="uk-UA"/>
      </w:rPr>
      <w:t>акціонера</w:t>
    </w:r>
    <w:r>
      <w:rPr>
        <w:i/>
        <w:sz w:val="18"/>
        <w:szCs w:val="18"/>
        <w:lang w:val="uk-UA"/>
      </w:rPr>
      <w:t>/ його представника</w:t>
    </w:r>
  </w:p>
  <w:p w14:paraId="599F073C" w14:textId="54FA156B" w:rsidR="00713C58" w:rsidRPr="0097782B" w:rsidRDefault="00713C58" w:rsidP="00A94E11">
    <w:pPr>
      <w:widowControl w:val="0"/>
      <w:autoSpaceDE w:val="0"/>
      <w:autoSpaceDN w:val="0"/>
      <w:adjustRightInd w:val="0"/>
      <w:jc w:val="right"/>
      <w:rPr>
        <w:sz w:val="18"/>
        <w:szCs w:val="18"/>
        <w:lang w:val="uk-UA"/>
      </w:rPr>
    </w:pPr>
    <w:r w:rsidRPr="0097782B">
      <w:rPr>
        <w:i/>
        <w:sz w:val="18"/>
        <w:szCs w:val="18"/>
        <w:lang w:val="uk-UA"/>
      </w:rPr>
      <w:t xml:space="preserve">(П.І.Б. або найменування </w:t>
    </w:r>
    <w:r w:rsidR="000C60A7">
      <w:rPr>
        <w:i/>
        <w:sz w:val="18"/>
        <w:szCs w:val="18"/>
        <w:lang w:val="uk-UA"/>
      </w:rPr>
      <w:t>акціонера</w:t>
    </w:r>
    <w:r w:rsidRPr="0097782B">
      <w:rPr>
        <w:i/>
        <w:sz w:val="18"/>
        <w:szCs w:val="18"/>
        <w:lang w:val="uk-UA"/>
      </w:rPr>
      <w:t>-юридичної особи)</w:t>
    </w:r>
  </w:p>
  <w:p w14:paraId="44E55D3E" w14:textId="77777777" w:rsidR="00713C58" w:rsidRPr="00A94E11" w:rsidRDefault="00713C58" w:rsidP="00A94E11">
    <w:pPr>
      <w:pStyle w:val="a9"/>
      <w:jc w:val="right"/>
      <w:rPr>
        <w:lang w:val="uk-UA"/>
      </w:rPr>
    </w:pPr>
  </w:p>
  <w:p w14:paraId="2E36E233" w14:textId="77777777" w:rsidR="00713C58" w:rsidRDefault="00713C5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9C2E" w14:textId="77777777" w:rsidR="00713C58" w:rsidRDefault="00713C58" w:rsidP="00A94E11">
      <w:r>
        <w:separator/>
      </w:r>
    </w:p>
  </w:footnote>
  <w:footnote w:type="continuationSeparator" w:id="0">
    <w:p w14:paraId="59304E9D" w14:textId="77777777" w:rsidR="00713C58" w:rsidRDefault="00713C58" w:rsidP="00A9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05692"/>
      <w:docPartObj>
        <w:docPartGallery w:val="Page Numbers (Top of Page)"/>
        <w:docPartUnique/>
      </w:docPartObj>
    </w:sdtPr>
    <w:sdtEndPr/>
    <w:sdtContent>
      <w:p w14:paraId="1FAB5F37" w14:textId="77777777" w:rsidR="00713C58" w:rsidRDefault="00713C58">
        <w:pPr>
          <w:pStyle w:val="a7"/>
          <w:jc w:val="right"/>
        </w:pPr>
        <w:r>
          <w:fldChar w:fldCharType="begin"/>
        </w:r>
        <w:r>
          <w:instrText>PAGE   \* MERGEFORMAT</w:instrText>
        </w:r>
        <w:r>
          <w:fldChar w:fldCharType="separate"/>
        </w:r>
        <w:r w:rsidR="00063647">
          <w:rPr>
            <w:noProof/>
          </w:rPr>
          <w:t>4</w:t>
        </w:r>
        <w:r>
          <w:fldChar w:fldCharType="end"/>
        </w:r>
      </w:p>
    </w:sdtContent>
  </w:sdt>
  <w:p w14:paraId="0C707343" w14:textId="77777777" w:rsidR="00713C58" w:rsidRDefault="00713C5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462DA7"/>
    <w:multiLevelType w:val="hybridMultilevel"/>
    <w:tmpl w:val="9E2A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4239A"/>
    <w:multiLevelType w:val="hybridMultilevel"/>
    <w:tmpl w:val="15E696B2"/>
    <w:lvl w:ilvl="0" w:tplc="D01EA1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42740A"/>
    <w:multiLevelType w:val="hybridMultilevel"/>
    <w:tmpl w:val="AFBC5F28"/>
    <w:lvl w:ilvl="0" w:tplc="F52C3330">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9AC6378"/>
    <w:multiLevelType w:val="hybridMultilevel"/>
    <w:tmpl w:val="BE6E31AE"/>
    <w:lvl w:ilvl="0" w:tplc="C9DA459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F5249"/>
    <w:multiLevelType w:val="hybridMultilevel"/>
    <w:tmpl w:val="48D6C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BA3178"/>
    <w:multiLevelType w:val="hybridMultilevel"/>
    <w:tmpl w:val="0F2EA03C"/>
    <w:lvl w:ilvl="0" w:tplc="C02843B0">
      <w:start w:val="1"/>
      <w:numFmt w:val="decimal"/>
      <w:lvlText w:val="%1."/>
      <w:lvlJc w:val="left"/>
      <w:pPr>
        <w:tabs>
          <w:tab w:val="num" w:pos="1068"/>
        </w:tabs>
        <w:ind w:left="1068" w:hanging="360"/>
      </w:pPr>
      <w:rPr>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59E733D1"/>
    <w:multiLevelType w:val="hybridMultilevel"/>
    <w:tmpl w:val="CD500016"/>
    <w:lvl w:ilvl="0" w:tplc="EA0C71D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0DE68EB"/>
    <w:multiLevelType w:val="hybridMultilevel"/>
    <w:tmpl w:val="B55A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581E"/>
    <w:multiLevelType w:val="multilevel"/>
    <w:tmpl w:val="62A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4B5D"/>
    <w:multiLevelType w:val="hybridMultilevel"/>
    <w:tmpl w:val="30DE26A6"/>
    <w:lvl w:ilvl="0" w:tplc="C20A897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D562E43"/>
    <w:multiLevelType w:val="hybridMultilevel"/>
    <w:tmpl w:val="F454E660"/>
    <w:lvl w:ilvl="0" w:tplc="AFD049A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
  </w:num>
  <w:num w:numId="5">
    <w:abstractNumId w:val="12"/>
  </w:num>
  <w:num w:numId="6">
    <w:abstractNumId w:val="7"/>
  </w:num>
  <w:num w:numId="7">
    <w:abstractNumId w:val="3"/>
  </w:num>
  <w:num w:numId="8">
    <w:abstractNumId w:val="15"/>
  </w:num>
  <w:num w:numId="9">
    <w:abstractNumId w:val="8"/>
  </w:num>
  <w:num w:numId="10">
    <w:abstractNumId w:val="0"/>
  </w:num>
  <w:num w:numId="11">
    <w:abstractNumId w:val="4"/>
  </w:num>
  <w:num w:numId="12">
    <w:abstractNumId w:val="2"/>
  </w:num>
  <w:num w:numId="13">
    <w:abstractNumId w:val="14"/>
  </w:num>
  <w:num w:numId="14">
    <w:abstractNumId w:val="6"/>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0D"/>
    <w:rsid w:val="0003653E"/>
    <w:rsid w:val="00046A1C"/>
    <w:rsid w:val="0006005F"/>
    <w:rsid w:val="00063647"/>
    <w:rsid w:val="00063844"/>
    <w:rsid w:val="000707B5"/>
    <w:rsid w:val="000C08A5"/>
    <w:rsid w:val="000C60A7"/>
    <w:rsid w:val="000C61BD"/>
    <w:rsid w:val="000F2CC2"/>
    <w:rsid w:val="00126FB2"/>
    <w:rsid w:val="0014059B"/>
    <w:rsid w:val="00146EF2"/>
    <w:rsid w:val="00151CD4"/>
    <w:rsid w:val="00167FB0"/>
    <w:rsid w:val="001728FF"/>
    <w:rsid w:val="00205D8F"/>
    <w:rsid w:val="00205EC2"/>
    <w:rsid w:val="00206821"/>
    <w:rsid w:val="0027124A"/>
    <w:rsid w:val="002724CD"/>
    <w:rsid w:val="002854AD"/>
    <w:rsid w:val="002C0D63"/>
    <w:rsid w:val="00317B0D"/>
    <w:rsid w:val="00342D90"/>
    <w:rsid w:val="003458DC"/>
    <w:rsid w:val="00364CCD"/>
    <w:rsid w:val="003C15E5"/>
    <w:rsid w:val="003C7A57"/>
    <w:rsid w:val="003D3694"/>
    <w:rsid w:val="003E0451"/>
    <w:rsid w:val="003F0D72"/>
    <w:rsid w:val="00480824"/>
    <w:rsid w:val="00495D9A"/>
    <w:rsid w:val="004F335D"/>
    <w:rsid w:val="00507F95"/>
    <w:rsid w:val="00522B07"/>
    <w:rsid w:val="005252AC"/>
    <w:rsid w:val="00530D44"/>
    <w:rsid w:val="00567B7B"/>
    <w:rsid w:val="005809BA"/>
    <w:rsid w:val="00587D79"/>
    <w:rsid w:val="0059350F"/>
    <w:rsid w:val="00611955"/>
    <w:rsid w:val="0063356E"/>
    <w:rsid w:val="00693700"/>
    <w:rsid w:val="006B7D64"/>
    <w:rsid w:val="006F0631"/>
    <w:rsid w:val="006F56B2"/>
    <w:rsid w:val="00713525"/>
    <w:rsid w:val="00713C58"/>
    <w:rsid w:val="00720E90"/>
    <w:rsid w:val="00760F7E"/>
    <w:rsid w:val="00763DB8"/>
    <w:rsid w:val="00792641"/>
    <w:rsid w:val="007D32FD"/>
    <w:rsid w:val="007D7ABA"/>
    <w:rsid w:val="007F1ACB"/>
    <w:rsid w:val="007F728D"/>
    <w:rsid w:val="00800E22"/>
    <w:rsid w:val="00815C28"/>
    <w:rsid w:val="00817F47"/>
    <w:rsid w:val="00823EEA"/>
    <w:rsid w:val="0082705D"/>
    <w:rsid w:val="008333A9"/>
    <w:rsid w:val="00864651"/>
    <w:rsid w:val="00893E99"/>
    <w:rsid w:val="00900F0C"/>
    <w:rsid w:val="009041DB"/>
    <w:rsid w:val="00907166"/>
    <w:rsid w:val="009323D2"/>
    <w:rsid w:val="0098076C"/>
    <w:rsid w:val="009A26EE"/>
    <w:rsid w:val="009B7919"/>
    <w:rsid w:val="009F16E9"/>
    <w:rsid w:val="00A00B30"/>
    <w:rsid w:val="00A12AC2"/>
    <w:rsid w:val="00A165C0"/>
    <w:rsid w:val="00A34219"/>
    <w:rsid w:val="00A47A5D"/>
    <w:rsid w:val="00A54078"/>
    <w:rsid w:val="00A61930"/>
    <w:rsid w:val="00A94E11"/>
    <w:rsid w:val="00A95AB5"/>
    <w:rsid w:val="00AB2FD8"/>
    <w:rsid w:val="00AC5C61"/>
    <w:rsid w:val="00AF1EA2"/>
    <w:rsid w:val="00AF6233"/>
    <w:rsid w:val="00B201CE"/>
    <w:rsid w:val="00B51CB5"/>
    <w:rsid w:val="00B66750"/>
    <w:rsid w:val="00B84950"/>
    <w:rsid w:val="00B96FF0"/>
    <w:rsid w:val="00B977EE"/>
    <w:rsid w:val="00BA1FF0"/>
    <w:rsid w:val="00BD1E21"/>
    <w:rsid w:val="00C12C17"/>
    <w:rsid w:val="00C46BDF"/>
    <w:rsid w:val="00C7752D"/>
    <w:rsid w:val="00CA7B25"/>
    <w:rsid w:val="00CB7042"/>
    <w:rsid w:val="00CE1615"/>
    <w:rsid w:val="00CF4D6E"/>
    <w:rsid w:val="00D1149B"/>
    <w:rsid w:val="00D2464D"/>
    <w:rsid w:val="00D32F01"/>
    <w:rsid w:val="00D454FE"/>
    <w:rsid w:val="00D948D4"/>
    <w:rsid w:val="00DA2839"/>
    <w:rsid w:val="00DD0717"/>
    <w:rsid w:val="00DE4916"/>
    <w:rsid w:val="00E15EC3"/>
    <w:rsid w:val="00E4040D"/>
    <w:rsid w:val="00E708C4"/>
    <w:rsid w:val="00E8279E"/>
    <w:rsid w:val="00E83BF1"/>
    <w:rsid w:val="00E84A7C"/>
    <w:rsid w:val="00E85F0D"/>
    <w:rsid w:val="00EA6538"/>
    <w:rsid w:val="00EC2E37"/>
    <w:rsid w:val="00F24308"/>
    <w:rsid w:val="00F33936"/>
    <w:rsid w:val="00F41318"/>
    <w:rsid w:val="00F776EA"/>
    <w:rsid w:val="00F824A5"/>
    <w:rsid w:val="00FC331B"/>
    <w:rsid w:val="00FD0F2F"/>
    <w:rsid w:val="00FE3911"/>
    <w:rsid w:val="00FE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28A5"/>
  <w15:docId w15:val="{B1642833-2450-4C83-800B-9E1A3C13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4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4040D"/>
    <w:rPr>
      <w:rFonts w:ascii="Courier New" w:hAnsi="Courier New"/>
      <w:sz w:val="20"/>
      <w:szCs w:val="20"/>
    </w:rPr>
  </w:style>
  <w:style w:type="character" w:customStyle="1" w:styleId="a4">
    <w:name w:val="Текст Знак"/>
    <w:basedOn w:val="a0"/>
    <w:link w:val="a3"/>
    <w:rsid w:val="00E4040D"/>
    <w:rPr>
      <w:rFonts w:ascii="Courier New" w:eastAsia="Times New Roman" w:hAnsi="Courier New" w:cs="Times New Roman"/>
      <w:sz w:val="20"/>
      <w:szCs w:val="20"/>
      <w:lang w:val="ru-RU" w:eastAsia="ru-RU"/>
    </w:rPr>
  </w:style>
  <w:style w:type="paragraph" w:styleId="a5">
    <w:name w:val="Body Text Indent"/>
    <w:basedOn w:val="a"/>
    <w:link w:val="a6"/>
    <w:rsid w:val="00E4040D"/>
    <w:pPr>
      <w:spacing w:after="120"/>
      <w:ind w:left="283"/>
    </w:pPr>
  </w:style>
  <w:style w:type="character" w:customStyle="1" w:styleId="a6">
    <w:name w:val="Основной текст с отступом Знак"/>
    <w:basedOn w:val="a0"/>
    <w:link w:val="a5"/>
    <w:rsid w:val="00E4040D"/>
    <w:rPr>
      <w:rFonts w:ascii="Times New Roman" w:eastAsia="Times New Roman" w:hAnsi="Times New Roman" w:cs="Times New Roman"/>
      <w:sz w:val="24"/>
      <w:szCs w:val="24"/>
      <w:lang w:val="ru-RU" w:eastAsia="ru-RU"/>
    </w:rPr>
  </w:style>
  <w:style w:type="paragraph" w:styleId="a7">
    <w:name w:val="header"/>
    <w:basedOn w:val="a"/>
    <w:link w:val="a8"/>
    <w:unhideWhenUsed/>
    <w:rsid w:val="00A94E11"/>
    <w:pPr>
      <w:tabs>
        <w:tab w:val="center" w:pos="4844"/>
        <w:tab w:val="right" w:pos="9689"/>
      </w:tabs>
    </w:pPr>
  </w:style>
  <w:style w:type="character" w:customStyle="1" w:styleId="a8">
    <w:name w:val="Верхний колонтитул Знак"/>
    <w:basedOn w:val="a0"/>
    <w:link w:val="a7"/>
    <w:rsid w:val="00A94E1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A94E11"/>
    <w:pPr>
      <w:tabs>
        <w:tab w:val="center" w:pos="4844"/>
        <w:tab w:val="right" w:pos="9689"/>
      </w:tabs>
    </w:pPr>
  </w:style>
  <w:style w:type="character" w:customStyle="1" w:styleId="aa">
    <w:name w:val="Нижний колонтитул Знак"/>
    <w:basedOn w:val="a0"/>
    <w:link w:val="a9"/>
    <w:uiPriority w:val="99"/>
    <w:rsid w:val="00A94E11"/>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DD0717"/>
    <w:pPr>
      <w:spacing w:after="12" w:line="268" w:lineRule="auto"/>
      <w:ind w:left="720" w:right="3" w:firstLine="698"/>
      <w:contextualSpacing/>
      <w:jc w:val="both"/>
    </w:pPr>
    <w:rPr>
      <w:color w:val="000000"/>
      <w:szCs w:val="22"/>
      <w:lang w:val="en-US" w:eastAsia="en-US"/>
    </w:rPr>
  </w:style>
  <w:style w:type="character" w:customStyle="1" w:styleId="markedcontent">
    <w:name w:val="markedcontent"/>
    <w:basedOn w:val="a0"/>
    <w:rsid w:val="00E85F0D"/>
  </w:style>
  <w:style w:type="character" w:styleId="ac">
    <w:name w:val="Strong"/>
    <w:uiPriority w:val="22"/>
    <w:qFormat/>
    <w:rsid w:val="002854AD"/>
    <w:rPr>
      <w:b/>
      <w:bCs/>
    </w:rPr>
  </w:style>
  <w:style w:type="paragraph" w:styleId="ad">
    <w:name w:val="Title"/>
    <w:basedOn w:val="a"/>
    <w:link w:val="ae"/>
    <w:qFormat/>
    <w:rsid w:val="00480824"/>
    <w:pPr>
      <w:keepNext/>
      <w:jc w:val="center"/>
    </w:pPr>
    <w:rPr>
      <w:rFonts w:eastAsia="Calibri"/>
      <w:b/>
      <w:color w:val="000000"/>
      <w:szCs w:val="20"/>
    </w:rPr>
  </w:style>
  <w:style w:type="character" w:customStyle="1" w:styleId="ae">
    <w:name w:val="Заголовок Знак"/>
    <w:basedOn w:val="a0"/>
    <w:link w:val="ad"/>
    <w:rsid w:val="00480824"/>
    <w:rPr>
      <w:rFonts w:ascii="Times New Roman" w:eastAsia="Calibri" w:hAnsi="Times New Roman" w:cs="Times New Roman"/>
      <w:b/>
      <w:color w:val="000000"/>
      <w:sz w:val="24"/>
      <w:szCs w:val="20"/>
      <w:lang w:val="ru-RU" w:eastAsia="ru-RU"/>
    </w:rPr>
  </w:style>
  <w:style w:type="paragraph" w:styleId="af">
    <w:name w:val="Normal (Web)"/>
    <w:basedOn w:val="a"/>
    <w:uiPriority w:val="99"/>
    <w:unhideWhenUsed/>
    <w:rsid w:val="006B7D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9290-1053-4489-85E3-DCBC16B8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5</cp:revision>
  <cp:lastPrinted>2022-09-15T08:37:00Z</cp:lastPrinted>
  <dcterms:created xsi:type="dcterms:W3CDTF">2026-01-29T10:10:00Z</dcterms:created>
  <dcterms:modified xsi:type="dcterms:W3CDTF">2026-01-29T10:16:00Z</dcterms:modified>
</cp:coreProperties>
</file>